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68" w:lineRule="auto"/>
        <w:ind w:right="0.47244094488348765"/>
        <w:jc w:val="center"/>
        <w:rPr>
          <w:rFonts w:ascii="Lato" w:cs="Lato" w:eastAsia="Lato" w:hAnsi="Lato"/>
          <w:b w:val="1"/>
          <w:color w:val="02a5a5"/>
          <w:sz w:val="28"/>
          <w:szCs w:val="28"/>
        </w:rPr>
      </w:pPr>
      <w:bookmarkStart w:colFirst="0" w:colLast="0" w:name="_heading=h.1fob9te" w:id="0"/>
      <w:bookmarkEnd w:id="0"/>
      <w:r w:rsidDel="00000000" w:rsidR="00000000" w:rsidRPr="00000000">
        <w:rPr>
          <w:rFonts w:ascii="Lato" w:cs="Lato" w:eastAsia="Lato" w:hAnsi="Lato"/>
          <w:b w:val="1"/>
          <w:color w:val="02a5a5"/>
          <w:sz w:val="28"/>
          <w:szCs w:val="28"/>
          <w:rtl w:val="0"/>
        </w:rPr>
        <w:t xml:space="preserve">ANEXO</w:t>
      </w:r>
    </w:p>
    <w:p w:rsidR="00000000" w:rsidDel="00000000" w:rsidP="00000000" w:rsidRDefault="00000000" w:rsidRPr="00000000" w14:paraId="00000002">
      <w:pPr>
        <w:spacing w:before="68" w:lineRule="auto"/>
        <w:ind w:right="1"/>
        <w:jc w:val="center"/>
        <w:rPr>
          <w:rFonts w:ascii="Lato" w:cs="Lato" w:eastAsia="Lato" w:hAnsi="Lato"/>
          <w:color w:val="02a5a5"/>
          <w:sz w:val="20"/>
          <w:szCs w:val="20"/>
        </w:rPr>
      </w:pPr>
      <w:bookmarkStart w:colFirst="0" w:colLast="0" w:name="_heading=h.2tyci3rsrgf6" w:id="1"/>
      <w:bookmarkEnd w:id="1"/>
      <w:r w:rsidDel="00000000" w:rsidR="00000000" w:rsidRPr="00000000">
        <w:rPr>
          <w:rFonts w:ascii="Lato" w:cs="Lato" w:eastAsia="Lato" w:hAnsi="Lato"/>
          <w:color w:val="02a5a5"/>
          <w:sz w:val="20"/>
          <w:szCs w:val="20"/>
          <w:rtl w:val="0"/>
        </w:rPr>
        <w:t xml:space="preserve">BBVA SÚPER DÓLARES 16 FMIV (en adelante “FONDO”)</w:t>
      </w:r>
    </w:p>
    <w:p w:rsidR="00000000" w:rsidDel="00000000" w:rsidP="00000000" w:rsidRDefault="00000000" w:rsidRPr="00000000" w14:paraId="00000003">
      <w:pPr>
        <w:spacing w:before="68" w:lineRule="auto"/>
        <w:ind w:right="1"/>
        <w:jc w:val="center"/>
        <w:rPr>
          <w:rFonts w:ascii="Lato" w:cs="Lato" w:eastAsia="Lato" w:hAnsi="Lato"/>
          <w:color w:val="02a5a5"/>
          <w:sz w:val="20"/>
          <w:szCs w:val="20"/>
        </w:rPr>
      </w:pPr>
      <w:bookmarkStart w:colFirst="0" w:colLast="0" w:name="_heading=h.4xo0cgku0rqb" w:id="2"/>
      <w:bookmarkEnd w:id="2"/>
      <w:r w:rsidDel="00000000" w:rsidR="00000000" w:rsidRPr="00000000">
        <w:rPr>
          <w:rFonts w:ascii="Lato" w:cs="Lato" w:eastAsia="Lato" w:hAnsi="Lato"/>
          <w:color w:val="02a5a5"/>
          <w:sz w:val="20"/>
          <w:szCs w:val="20"/>
          <w:rtl w:val="0"/>
        </w:rPr>
        <w:t xml:space="preserve">Programa de Fondos Mutuos BBVA Súper Dólares</w:t>
      </w:r>
    </w:p>
    <w:p w:rsidR="00000000" w:rsidDel="00000000" w:rsidP="00000000" w:rsidRDefault="00000000" w:rsidRPr="00000000" w14:paraId="00000004">
      <w:pPr>
        <w:spacing w:before="68" w:lineRule="auto"/>
        <w:ind w:right="1"/>
        <w:jc w:val="center"/>
        <w:rPr>
          <w:rFonts w:ascii="Lato" w:cs="Lato" w:eastAsia="Lato" w:hAnsi="Lato"/>
          <w:color w:val="02a5a5"/>
          <w:sz w:val="20"/>
          <w:szCs w:val="20"/>
        </w:rPr>
      </w:pPr>
      <w:bookmarkStart w:colFirst="0" w:colLast="0" w:name="_heading=h.wvi1t9mhpxsl" w:id="3"/>
      <w:bookmarkEnd w:id="3"/>
      <w:r w:rsidDel="00000000" w:rsidR="00000000" w:rsidRPr="00000000">
        <w:rPr>
          <w:rFonts w:ascii="Lato" w:cs="Lato" w:eastAsia="Lato" w:hAnsi="Lato"/>
          <w:color w:val="02a5a5"/>
          <w:sz w:val="20"/>
          <w:szCs w:val="20"/>
          <w:rtl w:val="0"/>
        </w:rPr>
        <w:t xml:space="preserve">Fecha de inicio de vigencia del presente documento: 27 de febrero de 2024</w:t>
      </w:r>
    </w:p>
    <w:p w:rsidR="00000000" w:rsidDel="00000000" w:rsidP="00000000" w:rsidRDefault="00000000" w:rsidRPr="00000000" w14:paraId="00000005">
      <w:pPr>
        <w:spacing w:line="200" w:lineRule="auto"/>
        <w:rPr>
          <w:rFonts w:ascii="Lato" w:cs="Lato" w:eastAsia="Lato" w:hAnsi="Lato"/>
          <w:sz w:val="20"/>
          <w:szCs w:val="20"/>
        </w:rPr>
      </w:pPr>
      <w:r w:rsidDel="00000000" w:rsidR="00000000" w:rsidRPr="00000000">
        <w:rPr>
          <w:rtl w:val="0"/>
        </w:rPr>
      </w:r>
    </w:p>
    <w:p w:rsidR="00000000" w:rsidDel="00000000" w:rsidP="00000000" w:rsidRDefault="00000000" w:rsidRPr="00000000" w14:paraId="00000006">
      <w:pPr>
        <w:spacing w:line="200" w:lineRule="auto"/>
        <w:rPr>
          <w:rFonts w:ascii="Lato" w:cs="Lato" w:eastAsia="Lato" w:hAnsi="Lato"/>
          <w:sz w:val="20"/>
          <w:szCs w:val="20"/>
        </w:rPr>
      </w:pPr>
      <w:r w:rsidDel="00000000" w:rsidR="00000000" w:rsidRPr="00000000">
        <w:rPr>
          <w:rtl w:val="0"/>
        </w:rPr>
      </w:r>
    </w:p>
    <w:p w:rsidR="00000000" w:rsidDel="00000000" w:rsidP="00000000" w:rsidRDefault="00000000" w:rsidRPr="00000000" w14:paraId="00000007">
      <w:pPr>
        <w:numPr>
          <w:ilvl w:val="0"/>
          <w:numId w:val="10"/>
        </w:numPr>
        <w:pBdr>
          <w:top w:space="0" w:sz="0" w:val="nil"/>
          <w:left w:space="0" w:sz="0" w:val="nil"/>
          <w:bottom w:space="0" w:sz="0" w:val="nil"/>
          <w:right w:space="0" w:sz="0" w:val="nil"/>
          <w:between w:space="0" w:sz="0" w:val="nil"/>
        </w:pBdr>
        <w:ind w:left="420" w:right="1" w:hanging="420"/>
        <w:jc w:val="both"/>
        <w:rPr>
          <w:rFonts w:ascii="Lato" w:cs="Lato" w:eastAsia="Lato" w:hAnsi="Lato"/>
          <w:b w:val="1"/>
          <w:color w:val="02a5a5"/>
          <w:sz w:val="20"/>
          <w:szCs w:val="20"/>
        </w:rPr>
      </w:pPr>
      <w:r w:rsidDel="00000000" w:rsidR="00000000" w:rsidRPr="00000000">
        <w:rPr>
          <w:rFonts w:ascii="Lato" w:cs="Lato" w:eastAsia="Lato" w:hAnsi="Lato"/>
          <w:b w:val="1"/>
          <w:color w:val="02a5a5"/>
          <w:sz w:val="20"/>
          <w:szCs w:val="20"/>
          <w:rtl w:val="0"/>
        </w:rPr>
        <w:t xml:space="preserve">DATOS GENERALES DEL FONDO</w:t>
      </w:r>
    </w:p>
    <w:p w:rsidR="00000000" w:rsidDel="00000000" w:rsidP="00000000" w:rsidRDefault="00000000" w:rsidRPr="00000000" w14:paraId="00000008">
      <w:pPr>
        <w:pBdr>
          <w:top w:space="0" w:sz="0" w:val="nil"/>
          <w:left w:space="0" w:sz="0" w:val="nil"/>
          <w:bottom w:space="0" w:sz="0" w:val="nil"/>
          <w:right w:space="0" w:sz="0" w:val="nil"/>
          <w:between w:space="0" w:sz="0" w:val="nil"/>
        </w:pBdr>
        <w:ind w:left="426" w:right="1" w:firstLine="0"/>
        <w:jc w:val="both"/>
        <w:rPr>
          <w:rFonts w:ascii="Lato" w:cs="Lato" w:eastAsia="Lato" w:hAnsi="Lato"/>
          <w:color w:val="004481"/>
          <w:sz w:val="20"/>
          <w:szCs w:val="20"/>
        </w:rPr>
      </w:pPr>
      <w:r w:rsidDel="00000000" w:rsidR="00000000" w:rsidRPr="00000000">
        <w:rPr>
          <w:rtl w:val="0"/>
        </w:rPr>
      </w:r>
    </w:p>
    <w:p w:rsidR="00000000" w:rsidDel="00000000" w:rsidP="00000000" w:rsidRDefault="00000000" w:rsidRPr="00000000" w14:paraId="00000009">
      <w:pPr>
        <w:numPr>
          <w:ilvl w:val="1"/>
          <w:numId w:val="3"/>
        </w:numPr>
        <w:pBdr>
          <w:top w:space="0" w:sz="0" w:val="nil"/>
          <w:left w:space="0" w:sz="0" w:val="nil"/>
          <w:bottom w:space="0" w:sz="0" w:val="nil"/>
          <w:right w:space="0" w:sz="0" w:val="nil"/>
          <w:between w:space="0" w:sz="0" w:val="nil"/>
        </w:pBdr>
        <w:spacing w:line="276" w:lineRule="auto"/>
        <w:ind w:left="780" w:right="1" w:hanging="495"/>
        <w:jc w:val="both"/>
        <w:rPr>
          <w:rFonts w:ascii="Lato" w:cs="Lato" w:eastAsia="Lato" w:hAnsi="Lato"/>
          <w:color w:val="004481"/>
          <w:sz w:val="20"/>
          <w:szCs w:val="20"/>
        </w:rPr>
      </w:pPr>
      <w:r w:rsidDel="00000000" w:rsidR="00000000" w:rsidRPr="00000000">
        <w:rPr>
          <w:rFonts w:ascii="Lato" w:cs="Lato" w:eastAsia="Lato" w:hAnsi="Lato"/>
          <w:b w:val="1"/>
          <w:color w:val="004481"/>
          <w:sz w:val="20"/>
          <w:szCs w:val="20"/>
          <w:rtl w:val="0"/>
        </w:rPr>
        <w:t xml:space="preserve">Denominación:</w:t>
      </w:r>
      <w:r w:rsidDel="00000000" w:rsidR="00000000" w:rsidRPr="00000000">
        <w:rPr>
          <w:rFonts w:ascii="Lato" w:cs="Lato" w:eastAsia="Lato" w:hAnsi="Lato"/>
          <w:color w:val="004481"/>
          <w:sz w:val="20"/>
          <w:szCs w:val="20"/>
          <w:rtl w:val="0"/>
        </w:rPr>
        <w:t xml:space="preserve"> BBVA Súper Dólares 16 FMIV</w:t>
      </w:r>
    </w:p>
    <w:p w:rsidR="00000000" w:rsidDel="00000000" w:rsidP="00000000" w:rsidRDefault="00000000" w:rsidRPr="00000000" w14:paraId="0000000A">
      <w:pPr>
        <w:numPr>
          <w:ilvl w:val="1"/>
          <w:numId w:val="3"/>
        </w:numPr>
        <w:pBdr>
          <w:top w:space="0" w:sz="0" w:val="nil"/>
          <w:left w:space="0" w:sz="0" w:val="nil"/>
          <w:bottom w:space="0" w:sz="0" w:val="nil"/>
          <w:right w:space="0" w:sz="0" w:val="nil"/>
          <w:between w:space="0" w:sz="0" w:val="nil"/>
        </w:pBdr>
        <w:spacing w:line="276" w:lineRule="auto"/>
        <w:ind w:left="780" w:hanging="495"/>
        <w:rPr>
          <w:rFonts w:ascii="Lato" w:cs="Lato" w:eastAsia="Lato" w:hAnsi="Lato"/>
          <w:color w:val="004481"/>
          <w:sz w:val="20"/>
          <w:szCs w:val="20"/>
        </w:rPr>
      </w:pPr>
      <w:r w:rsidDel="00000000" w:rsidR="00000000" w:rsidRPr="00000000">
        <w:rPr>
          <w:rFonts w:ascii="Lato" w:cs="Lato" w:eastAsia="Lato" w:hAnsi="Lato"/>
          <w:b w:val="1"/>
          <w:color w:val="004481"/>
          <w:sz w:val="20"/>
          <w:szCs w:val="20"/>
          <w:rtl w:val="0"/>
        </w:rPr>
        <w:t xml:space="preserve">Tipo: </w:t>
      </w:r>
      <w:r w:rsidDel="00000000" w:rsidR="00000000" w:rsidRPr="00000000">
        <w:rPr>
          <w:rFonts w:ascii="Lato" w:cs="Lato" w:eastAsia="Lato" w:hAnsi="Lato"/>
          <w:color w:val="004481"/>
          <w:sz w:val="20"/>
          <w:szCs w:val="20"/>
          <w:rtl w:val="0"/>
        </w:rPr>
        <w:t xml:space="preserve">Fondo Mutuo de Instrumentos de Deuda</w:t>
      </w:r>
    </w:p>
    <w:p w:rsidR="00000000" w:rsidDel="00000000" w:rsidP="00000000" w:rsidRDefault="00000000" w:rsidRPr="00000000" w14:paraId="0000000B">
      <w:pPr>
        <w:numPr>
          <w:ilvl w:val="2"/>
          <w:numId w:val="4"/>
        </w:numPr>
        <w:pBdr>
          <w:top w:space="0" w:sz="0" w:val="nil"/>
          <w:left w:space="0" w:sz="0" w:val="nil"/>
          <w:bottom w:space="0" w:sz="0" w:val="nil"/>
          <w:right w:space="0" w:sz="0" w:val="nil"/>
          <w:between w:space="0" w:sz="0" w:val="nil"/>
        </w:pBdr>
        <w:spacing w:line="276" w:lineRule="auto"/>
        <w:ind w:left="1559.0551181102362" w:right="1" w:hanging="283.4645669291339"/>
        <w:jc w:val="both"/>
        <w:rPr>
          <w:rFonts w:ascii="Lato" w:cs="Lato" w:eastAsia="Lato" w:hAnsi="Lato"/>
          <w:color w:val="004481"/>
          <w:sz w:val="20"/>
          <w:szCs w:val="20"/>
        </w:rPr>
      </w:pPr>
      <w:r w:rsidDel="00000000" w:rsidR="00000000" w:rsidRPr="00000000">
        <w:rPr>
          <w:rFonts w:ascii="Lato" w:cs="Lato" w:eastAsia="Lato" w:hAnsi="Lato"/>
          <w:b w:val="1"/>
          <w:color w:val="004481"/>
          <w:sz w:val="20"/>
          <w:szCs w:val="20"/>
          <w:rtl w:val="0"/>
        </w:rPr>
        <w:t xml:space="preserve">Subclasificación:</w:t>
      </w:r>
      <w:r w:rsidDel="00000000" w:rsidR="00000000" w:rsidRPr="00000000">
        <w:rPr>
          <w:rFonts w:ascii="Lato" w:cs="Lato" w:eastAsia="Lato" w:hAnsi="Lato"/>
          <w:color w:val="004481"/>
          <w:sz w:val="20"/>
          <w:szCs w:val="20"/>
          <w:rtl w:val="0"/>
        </w:rPr>
        <w:t xml:space="preserve"> Duración Flexible</w:t>
      </w:r>
    </w:p>
    <w:p w:rsidR="00000000" w:rsidDel="00000000" w:rsidP="00000000" w:rsidRDefault="00000000" w:rsidRPr="00000000" w14:paraId="0000000C">
      <w:pPr>
        <w:numPr>
          <w:ilvl w:val="2"/>
          <w:numId w:val="4"/>
        </w:numPr>
        <w:pBdr>
          <w:top w:space="0" w:sz="0" w:val="nil"/>
          <w:left w:space="0" w:sz="0" w:val="nil"/>
          <w:bottom w:space="0" w:sz="0" w:val="nil"/>
          <w:right w:space="0" w:sz="0" w:val="nil"/>
          <w:between w:space="0" w:sz="0" w:val="nil"/>
        </w:pBdr>
        <w:spacing w:line="276" w:lineRule="auto"/>
        <w:ind w:left="1559.0551181102362" w:right="1" w:hanging="283.4645669291339"/>
        <w:jc w:val="both"/>
        <w:rPr>
          <w:rFonts w:ascii="Lato" w:cs="Lato" w:eastAsia="Lato" w:hAnsi="Lato"/>
          <w:color w:val="004481"/>
          <w:sz w:val="20"/>
          <w:szCs w:val="20"/>
        </w:rPr>
      </w:pPr>
      <w:r w:rsidDel="00000000" w:rsidR="00000000" w:rsidRPr="00000000">
        <w:rPr>
          <w:rFonts w:ascii="Lato" w:cs="Lato" w:eastAsia="Lato" w:hAnsi="Lato"/>
          <w:b w:val="1"/>
          <w:color w:val="004481"/>
          <w:sz w:val="20"/>
          <w:szCs w:val="20"/>
          <w:rtl w:val="0"/>
        </w:rPr>
        <w:t xml:space="preserve">Moneda del Valor Cuota: </w:t>
      </w:r>
      <w:r w:rsidDel="00000000" w:rsidR="00000000" w:rsidRPr="00000000">
        <w:rPr>
          <w:rFonts w:ascii="Lato" w:cs="Lato" w:eastAsia="Lato" w:hAnsi="Lato"/>
          <w:color w:val="004481"/>
          <w:sz w:val="20"/>
          <w:szCs w:val="20"/>
          <w:rtl w:val="0"/>
        </w:rPr>
        <w:t xml:space="preserve">Dólares Americanos</w:t>
      </w:r>
    </w:p>
    <w:p w:rsidR="00000000" w:rsidDel="00000000" w:rsidP="00000000" w:rsidRDefault="00000000" w:rsidRPr="00000000" w14:paraId="0000000D">
      <w:pPr>
        <w:numPr>
          <w:ilvl w:val="1"/>
          <w:numId w:val="3"/>
        </w:numPr>
        <w:pBdr>
          <w:top w:space="0" w:sz="0" w:val="nil"/>
          <w:left w:space="0" w:sz="0" w:val="nil"/>
          <w:bottom w:space="0" w:sz="0" w:val="nil"/>
          <w:right w:space="0" w:sz="0" w:val="nil"/>
          <w:between w:space="0" w:sz="0" w:val="nil"/>
        </w:pBdr>
        <w:spacing w:line="276" w:lineRule="auto"/>
        <w:ind w:left="780" w:right="1" w:hanging="495"/>
        <w:jc w:val="both"/>
        <w:rPr>
          <w:rFonts w:ascii="Lato" w:cs="Lato" w:eastAsia="Lato" w:hAnsi="Lato"/>
          <w:color w:val="004481"/>
          <w:sz w:val="20"/>
          <w:szCs w:val="20"/>
        </w:rPr>
      </w:pPr>
      <w:r w:rsidDel="00000000" w:rsidR="00000000" w:rsidRPr="00000000">
        <w:rPr>
          <w:rFonts w:ascii="Lato" w:cs="Lato" w:eastAsia="Lato" w:hAnsi="Lato"/>
          <w:b w:val="1"/>
          <w:color w:val="004481"/>
          <w:sz w:val="20"/>
          <w:szCs w:val="20"/>
          <w:rtl w:val="0"/>
        </w:rPr>
        <w:t xml:space="preserve">Sociedad Administradora: </w:t>
      </w:r>
      <w:r w:rsidDel="00000000" w:rsidR="00000000" w:rsidRPr="00000000">
        <w:rPr>
          <w:rFonts w:ascii="Lato" w:cs="Lato" w:eastAsia="Lato" w:hAnsi="Lato"/>
          <w:color w:val="004481"/>
          <w:sz w:val="20"/>
          <w:szCs w:val="20"/>
          <w:rtl w:val="0"/>
        </w:rPr>
        <w:t xml:space="preserve">BBVA Asset Management S.A. SAF</w:t>
      </w:r>
    </w:p>
    <w:p w:rsidR="00000000" w:rsidDel="00000000" w:rsidP="00000000" w:rsidRDefault="00000000" w:rsidRPr="00000000" w14:paraId="0000000E">
      <w:pPr>
        <w:numPr>
          <w:ilvl w:val="1"/>
          <w:numId w:val="3"/>
        </w:numPr>
        <w:pBdr>
          <w:top w:space="0" w:sz="0" w:val="nil"/>
          <w:left w:space="0" w:sz="0" w:val="nil"/>
          <w:bottom w:space="0" w:sz="0" w:val="nil"/>
          <w:right w:space="0" w:sz="0" w:val="nil"/>
          <w:between w:space="0" w:sz="0" w:val="nil"/>
        </w:pBdr>
        <w:spacing w:line="276" w:lineRule="auto"/>
        <w:ind w:left="780" w:right="1" w:hanging="495"/>
        <w:jc w:val="both"/>
        <w:rPr>
          <w:rFonts w:ascii="Lato" w:cs="Lato" w:eastAsia="Lato" w:hAnsi="Lato"/>
          <w:color w:val="004481"/>
          <w:sz w:val="20"/>
          <w:szCs w:val="20"/>
        </w:rPr>
      </w:pPr>
      <w:r w:rsidDel="00000000" w:rsidR="00000000" w:rsidRPr="00000000">
        <w:rPr>
          <w:rFonts w:ascii="Lato" w:cs="Lato" w:eastAsia="Lato" w:hAnsi="Lato"/>
          <w:b w:val="1"/>
          <w:color w:val="004481"/>
          <w:sz w:val="20"/>
          <w:szCs w:val="20"/>
          <w:rtl w:val="0"/>
        </w:rPr>
        <w:t xml:space="preserve">Custodio: </w:t>
      </w:r>
      <w:r w:rsidDel="00000000" w:rsidR="00000000" w:rsidRPr="00000000">
        <w:rPr>
          <w:rFonts w:ascii="Lato" w:cs="Lato" w:eastAsia="Lato" w:hAnsi="Lato"/>
          <w:color w:val="004481"/>
          <w:sz w:val="20"/>
          <w:szCs w:val="20"/>
          <w:rtl w:val="0"/>
        </w:rPr>
        <w:t xml:space="preserve">Banco BBVA Perú (en adelante, “BBVA”)</w:t>
      </w:r>
    </w:p>
    <w:p w:rsidR="00000000" w:rsidDel="00000000" w:rsidP="00000000" w:rsidRDefault="00000000" w:rsidRPr="00000000" w14:paraId="0000000F">
      <w:pPr>
        <w:numPr>
          <w:ilvl w:val="1"/>
          <w:numId w:val="3"/>
        </w:numPr>
        <w:pBdr>
          <w:top w:space="0" w:sz="0" w:val="nil"/>
          <w:left w:space="0" w:sz="0" w:val="nil"/>
          <w:bottom w:space="0" w:sz="0" w:val="nil"/>
          <w:right w:space="0" w:sz="0" w:val="nil"/>
          <w:between w:space="0" w:sz="0" w:val="nil"/>
        </w:pBdr>
        <w:spacing w:line="276" w:lineRule="auto"/>
        <w:ind w:left="780" w:right="1" w:hanging="495"/>
        <w:jc w:val="both"/>
        <w:rPr>
          <w:rFonts w:ascii="Lato" w:cs="Lato" w:eastAsia="Lato" w:hAnsi="Lato"/>
          <w:color w:val="004481"/>
          <w:sz w:val="20"/>
          <w:szCs w:val="20"/>
        </w:rPr>
      </w:pPr>
      <w:r w:rsidDel="00000000" w:rsidR="00000000" w:rsidRPr="00000000">
        <w:rPr>
          <w:rFonts w:ascii="Lato" w:cs="Lato" w:eastAsia="Lato" w:hAnsi="Lato"/>
          <w:b w:val="1"/>
          <w:color w:val="004481"/>
          <w:sz w:val="20"/>
          <w:szCs w:val="20"/>
          <w:rtl w:val="0"/>
        </w:rPr>
        <w:t xml:space="preserve">Plazo de vigencia:</w:t>
      </w:r>
      <w:r w:rsidDel="00000000" w:rsidR="00000000" w:rsidRPr="00000000">
        <w:rPr>
          <w:rFonts w:ascii="Lato" w:cs="Lato" w:eastAsia="Lato" w:hAnsi="Lato"/>
          <w:color w:val="004481"/>
          <w:sz w:val="20"/>
          <w:szCs w:val="20"/>
          <w:rtl w:val="0"/>
        </w:rPr>
        <w:t xml:space="preserve"> Hasta 365 días a partir del inicio de la etapa operativa del fondo</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276" w:lineRule="auto"/>
        <w:ind w:left="100" w:right="1" w:firstLine="0"/>
        <w:jc w:val="both"/>
        <w:rPr>
          <w:rFonts w:ascii="Lato" w:cs="Lato" w:eastAsia="Lato" w:hAnsi="Lato"/>
          <w:color w:val="004481"/>
          <w:sz w:val="20"/>
          <w:szCs w:val="20"/>
        </w:rPr>
      </w:pPr>
      <w:r w:rsidDel="00000000" w:rsidR="00000000" w:rsidRPr="00000000">
        <w:rPr>
          <w:rtl w:val="0"/>
        </w:rPr>
      </w:r>
    </w:p>
    <w:p w:rsidR="00000000" w:rsidDel="00000000" w:rsidP="00000000" w:rsidRDefault="00000000" w:rsidRPr="00000000" w14:paraId="00000011">
      <w:pPr>
        <w:numPr>
          <w:ilvl w:val="0"/>
          <w:numId w:val="3"/>
        </w:numPr>
        <w:pBdr>
          <w:top w:space="0" w:sz="0" w:val="nil"/>
          <w:left w:space="0" w:sz="0" w:val="nil"/>
          <w:bottom w:space="0" w:sz="0" w:val="nil"/>
          <w:right w:space="0" w:sz="0" w:val="nil"/>
          <w:between w:space="0" w:sz="0" w:val="nil"/>
        </w:pBdr>
        <w:spacing w:before="3" w:line="491" w:lineRule="auto"/>
        <w:ind w:left="426" w:right="1" w:hanging="291"/>
        <w:jc w:val="both"/>
        <w:rPr>
          <w:rFonts w:ascii="Lato" w:cs="Lato" w:eastAsia="Lato" w:hAnsi="Lato"/>
          <w:b w:val="1"/>
          <w:color w:val="02a5a5"/>
          <w:sz w:val="20"/>
          <w:szCs w:val="20"/>
        </w:rPr>
      </w:pPr>
      <w:r w:rsidDel="00000000" w:rsidR="00000000" w:rsidRPr="00000000">
        <w:rPr>
          <w:rFonts w:ascii="Lato" w:cs="Lato" w:eastAsia="Lato" w:hAnsi="Lato"/>
          <w:b w:val="1"/>
          <w:color w:val="02a5a5"/>
          <w:sz w:val="20"/>
          <w:szCs w:val="20"/>
          <w:rtl w:val="0"/>
        </w:rPr>
        <w:t xml:space="preserve">INVERSIONES DEL FONDO</w:t>
      </w:r>
    </w:p>
    <w:p w:rsidR="00000000" w:rsidDel="00000000" w:rsidP="00000000" w:rsidRDefault="00000000" w:rsidRPr="00000000" w14:paraId="00000012">
      <w:pPr>
        <w:numPr>
          <w:ilvl w:val="1"/>
          <w:numId w:val="3"/>
        </w:numPr>
        <w:pBdr>
          <w:top w:space="0" w:sz="0" w:val="nil"/>
          <w:left w:space="0" w:sz="0" w:val="nil"/>
          <w:bottom w:space="0" w:sz="0" w:val="nil"/>
          <w:right w:space="0" w:sz="0" w:val="nil"/>
          <w:between w:space="0" w:sz="0" w:val="nil"/>
        </w:pBdr>
        <w:spacing w:before="3" w:line="491" w:lineRule="auto"/>
        <w:ind w:left="705" w:right="1" w:hanging="420"/>
        <w:jc w:val="both"/>
        <w:rPr>
          <w:rFonts w:ascii="Lato" w:cs="Lato" w:eastAsia="Lato" w:hAnsi="Lato"/>
          <w:b w:val="1"/>
          <w:color w:val="004481"/>
          <w:sz w:val="20"/>
          <w:szCs w:val="20"/>
        </w:rPr>
      </w:pPr>
      <w:r w:rsidDel="00000000" w:rsidR="00000000" w:rsidRPr="00000000">
        <w:rPr>
          <w:rFonts w:ascii="Lato" w:cs="Lato" w:eastAsia="Lato" w:hAnsi="Lato"/>
          <w:b w:val="1"/>
          <w:color w:val="004481"/>
          <w:sz w:val="20"/>
          <w:szCs w:val="20"/>
          <w:rtl w:val="0"/>
        </w:rPr>
        <w:t xml:space="preserve">El Objetivo de Inversión</w:t>
      </w:r>
    </w:p>
    <w:p w:rsidR="00000000" w:rsidDel="00000000" w:rsidP="00000000" w:rsidRDefault="00000000" w:rsidRPr="00000000" w14:paraId="00000013">
      <w:pPr>
        <w:widowControl w:val="1"/>
        <w:pBdr>
          <w:top w:space="0" w:sz="0" w:val="nil"/>
          <w:left w:space="0" w:sz="0" w:val="nil"/>
          <w:bottom w:space="0" w:sz="0" w:val="nil"/>
          <w:right w:space="0" w:sz="0" w:val="nil"/>
          <w:between w:space="0" w:sz="0" w:val="nil"/>
        </w:pBdr>
        <w:spacing w:line="276" w:lineRule="auto"/>
        <w:ind w:left="1" w:firstLine="0"/>
        <w:jc w:val="both"/>
        <w:rPr>
          <w:rFonts w:ascii="Lato" w:cs="Lato" w:eastAsia="Lato" w:hAnsi="Lato"/>
          <w:color w:val="004481"/>
          <w:sz w:val="16"/>
          <w:szCs w:val="16"/>
        </w:rPr>
      </w:pPr>
      <w:bookmarkStart w:colFirst="0" w:colLast="0" w:name="_heading=h.gjdgxs" w:id="4"/>
      <w:bookmarkEnd w:id="4"/>
      <w:r w:rsidDel="00000000" w:rsidR="00000000" w:rsidRPr="00000000">
        <w:rPr>
          <w:rFonts w:ascii="Lato" w:cs="Lato" w:eastAsia="Lato" w:hAnsi="Lato"/>
          <w:color w:val="004481"/>
          <w:sz w:val="20"/>
          <w:szCs w:val="20"/>
          <w:rtl w:val="0"/>
        </w:rPr>
        <w:t xml:space="preserve">BBVA Súper Dólares 16 FMIV (en adelante, “FONDO”) tiene como objetivo invertir predominantemente en instrumentos representativos de deuda. La duración del portafolio de inversión podrá ir de 0 a 365 días, contados desde el inicio de la etapa operativa del fondo. El FONDO podrá invertir indistintamente en mercado local o internacional. El FONDO podrá invertir como máximo el 10% del activo total en instrumentos de empresas vinculadas a la sociedad administradora. Si bien el objetivo del Fondo es mantener las condiciones de rentabilidad y distribución de flujos hasta el vencimiento del mismo, estas podrían variar durante la vida del Fondo en caso la Administradora decida no mantener a vencimiento alguno de los instrumentos que componen el portafolio o reemplazarlo por otro instrumento que cumpla con la política de inversiones.</w:t>
      </w:r>
      <w:r w:rsidDel="00000000" w:rsidR="00000000" w:rsidRPr="00000000">
        <w:rPr>
          <w:rtl w:val="0"/>
        </w:rPr>
      </w:r>
    </w:p>
    <w:p w:rsidR="00000000" w:rsidDel="00000000" w:rsidP="00000000" w:rsidRDefault="00000000" w:rsidRPr="00000000" w14:paraId="00000014">
      <w:pPr>
        <w:spacing w:line="244" w:lineRule="auto"/>
        <w:ind w:right="112"/>
        <w:jc w:val="both"/>
        <w:rPr>
          <w:rFonts w:ascii="Lato" w:cs="Lato" w:eastAsia="Lato" w:hAnsi="Lato"/>
          <w:color w:val="004481"/>
          <w:sz w:val="20"/>
          <w:szCs w:val="20"/>
        </w:rPr>
      </w:pPr>
      <w:r w:rsidDel="00000000" w:rsidR="00000000" w:rsidRPr="00000000">
        <w:rPr>
          <w:rtl w:val="0"/>
        </w:rPr>
      </w:r>
    </w:p>
    <w:p w:rsidR="00000000" w:rsidDel="00000000" w:rsidP="00000000" w:rsidRDefault="00000000" w:rsidRPr="00000000" w14:paraId="00000015">
      <w:pPr>
        <w:widowControl w:val="1"/>
        <w:pBdr>
          <w:top w:space="0" w:sz="0" w:val="nil"/>
          <w:left w:space="0" w:sz="0" w:val="nil"/>
          <w:bottom w:space="0" w:sz="0" w:val="nil"/>
          <w:right w:space="0" w:sz="0" w:val="nil"/>
          <w:between w:space="0" w:sz="0" w:val="nil"/>
        </w:pBdr>
        <w:spacing w:line="276" w:lineRule="auto"/>
        <w:ind w:left="1" w:firstLine="0"/>
        <w:jc w:val="both"/>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Según la clasificación de riesgo local, el FONDO podrá invertir hasta el 100% del activo total en instrumentos con rating AAA hasta AA- en el largo plazo, CP-1 en el corto plazo y/o riesgo Estado Peruano. Asimismo, podrá invertir hasta el 50% del activo total en instrumentos con rating A+ hasta A- en el largo plazo y CP-2 en el corto plazo. En el caso de inversiones en entidades financiera, el FONDO podrá invertir hasta el 100% del activo total en entidades con rating A+ hasta A-, y hasta 50% del activo total en entidades con rating de B+ hasta B-.</w:t>
      </w:r>
    </w:p>
    <w:p w:rsidR="00000000" w:rsidDel="00000000" w:rsidP="00000000" w:rsidRDefault="00000000" w:rsidRPr="00000000" w14:paraId="00000016">
      <w:pPr>
        <w:widowControl w:val="1"/>
        <w:pBdr>
          <w:top w:space="0" w:sz="0" w:val="nil"/>
          <w:left w:space="0" w:sz="0" w:val="nil"/>
          <w:bottom w:space="0" w:sz="0" w:val="nil"/>
          <w:right w:space="0" w:sz="0" w:val="nil"/>
          <w:between w:space="0" w:sz="0" w:val="nil"/>
        </w:pBdr>
        <w:spacing w:line="276" w:lineRule="auto"/>
        <w:ind w:left="1" w:firstLine="0"/>
        <w:jc w:val="both"/>
        <w:rPr>
          <w:rFonts w:ascii="Lato" w:cs="Lato" w:eastAsia="Lato" w:hAnsi="Lato"/>
          <w:color w:val="004481"/>
          <w:sz w:val="20"/>
          <w:szCs w:val="20"/>
        </w:rPr>
      </w:pPr>
      <w:r w:rsidDel="00000000" w:rsidR="00000000" w:rsidRPr="00000000">
        <w:rPr>
          <w:rtl w:val="0"/>
        </w:rPr>
      </w:r>
    </w:p>
    <w:p w:rsidR="00000000" w:rsidDel="00000000" w:rsidP="00000000" w:rsidRDefault="00000000" w:rsidRPr="00000000" w14:paraId="00000017">
      <w:pPr>
        <w:widowControl w:val="1"/>
        <w:pBdr>
          <w:top w:space="0" w:sz="0" w:val="nil"/>
          <w:left w:space="0" w:sz="0" w:val="nil"/>
          <w:bottom w:space="0" w:sz="0" w:val="nil"/>
          <w:right w:space="0" w:sz="0" w:val="nil"/>
          <w:between w:space="0" w:sz="0" w:val="nil"/>
        </w:pBdr>
        <w:spacing w:line="276" w:lineRule="auto"/>
        <w:ind w:left="1" w:firstLine="0"/>
        <w:jc w:val="both"/>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En el mercado internacional, el FONDO podrá invertir hasta el 100% del activo total en instrumentos con rating AAA hasta BBB- en el largo plazo y CP-1 en el corto plazo. Asimismo, podrá invertir hasta el 50% del activo total en instrumentos con rating BB+ hasta BB- en el largo plazo y CP-2 en el corto plazo. </w:t>
      </w:r>
      <w:r w:rsidDel="00000000" w:rsidR="00000000" w:rsidRPr="00000000">
        <w:rPr>
          <w:rFonts w:ascii="Lato" w:cs="Lato" w:eastAsia="Lato" w:hAnsi="Lato"/>
          <w:color w:val="004481"/>
          <w:sz w:val="20"/>
          <w:szCs w:val="20"/>
          <w:highlight w:val="white"/>
          <w:rtl w:val="0"/>
        </w:rPr>
        <w:t xml:space="preserve">Los instrumentos representativos de deuda a ser incluidos en el portafolio deberán estar expresados o coberturados principalmente en USD dólares americanos (mínimo de 75%).</w:t>
      </w:r>
      <w:r w:rsidDel="00000000" w:rsidR="00000000" w:rsidRPr="00000000">
        <w:rPr>
          <w:rtl w:val="0"/>
        </w:rPr>
      </w:r>
    </w:p>
    <w:p w:rsidR="00000000" w:rsidDel="00000000" w:rsidP="00000000" w:rsidRDefault="00000000" w:rsidRPr="00000000" w14:paraId="00000018">
      <w:pPr>
        <w:widowControl w:val="1"/>
        <w:pBdr>
          <w:top w:space="0" w:sz="0" w:val="nil"/>
          <w:left w:space="0" w:sz="0" w:val="nil"/>
          <w:bottom w:space="0" w:sz="0" w:val="nil"/>
          <w:right w:space="0" w:sz="0" w:val="nil"/>
          <w:between w:space="0" w:sz="0" w:val="nil"/>
        </w:pBdr>
        <w:spacing w:line="276" w:lineRule="auto"/>
        <w:ind w:left="1" w:firstLine="0"/>
        <w:jc w:val="both"/>
        <w:rPr>
          <w:rFonts w:ascii="Lato" w:cs="Lato" w:eastAsia="Lato" w:hAnsi="Lato"/>
          <w:color w:val="004481"/>
          <w:sz w:val="20"/>
          <w:szCs w:val="20"/>
        </w:rPr>
      </w:pPr>
      <w:r w:rsidDel="00000000" w:rsidR="00000000" w:rsidRPr="00000000">
        <w:rPr>
          <w:rtl w:val="0"/>
        </w:rPr>
      </w:r>
    </w:p>
    <w:p w:rsidR="00000000" w:rsidDel="00000000" w:rsidP="00000000" w:rsidRDefault="00000000" w:rsidRPr="00000000" w14:paraId="00000019">
      <w:pPr>
        <w:widowControl w:val="1"/>
        <w:spacing w:line="276" w:lineRule="auto"/>
        <w:ind w:left="1" w:firstLine="0"/>
        <w:jc w:val="both"/>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El Fondo cuenta con un nivel de riesgo crediticio alto asociado con el riesgo país de invertir en emisores extranjeros domiciliados en países como: Brasil, Colombia, México, Chile, Estados Unidos, Japón, Perú, entre otros.</w:t>
      </w:r>
    </w:p>
    <w:p w:rsidR="00000000" w:rsidDel="00000000" w:rsidP="00000000" w:rsidRDefault="00000000" w:rsidRPr="00000000" w14:paraId="0000001A">
      <w:pPr>
        <w:widowControl w:val="1"/>
        <w:pBdr>
          <w:top w:space="0" w:sz="0" w:val="nil"/>
          <w:left w:space="0" w:sz="0" w:val="nil"/>
          <w:bottom w:space="0" w:sz="0" w:val="nil"/>
          <w:right w:space="0" w:sz="0" w:val="nil"/>
          <w:between w:space="0" w:sz="0" w:val="nil"/>
        </w:pBdr>
        <w:spacing w:line="276" w:lineRule="auto"/>
        <w:ind w:left="1" w:firstLine="0"/>
        <w:jc w:val="both"/>
        <w:rPr>
          <w:rFonts w:ascii="Lato" w:cs="Lato" w:eastAsia="Lato" w:hAnsi="Lato"/>
          <w:color w:val="004481"/>
          <w:sz w:val="20"/>
          <w:szCs w:val="20"/>
        </w:rPr>
      </w:pPr>
      <w:r w:rsidDel="00000000" w:rsidR="00000000" w:rsidRPr="00000000">
        <w:rPr>
          <w:rtl w:val="0"/>
        </w:rPr>
      </w:r>
    </w:p>
    <w:p w:rsidR="00000000" w:rsidDel="00000000" w:rsidP="00000000" w:rsidRDefault="00000000" w:rsidRPr="00000000" w14:paraId="0000001B">
      <w:pPr>
        <w:widowControl w:val="1"/>
        <w:pBdr>
          <w:top w:space="0" w:sz="0" w:val="nil"/>
          <w:left w:space="0" w:sz="0" w:val="nil"/>
          <w:bottom w:space="0" w:sz="0" w:val="nil"/>
          <w:right w:space="0" w:sz="0" w:val="nil"/>
          <w:between w:space="0" w:sz="0" w:val="nil"/>
        </w:pBdr>
        <w:spacing w:line="276" w:lineRule="auto"/>
        <w:jc w:val="both"/>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El nivel de apalancamiento del FONDO será 0% del activo total. El FONDO podrá invertir en instrumentos derivados solo con fines de cobertura, de acuerdo a lo señalado en la sección 2.2 Política de Inversiones del presente Anexo del Reglamento de Participación. La inversión en instrumentos derivados tiene como fin cubrir el portafolio ante movimientos adversos en las tasas de interés y/o cotización de otras monedas diferentes a la moneda del valor cuota del FONDO.</w:t>
      </w:r>
    </w:p>
    <w:p w:rsidR="00000000" w:rsidDel="00000000" w:rsidP="00000000" w:rsidRDefault="00000000" w:rsidRPr="00000000" w14:paraId="0000001C">
      <w:pPr>
        <w:widowControl w:val="1"/>
        <w:pBdr>
          <w:top w:space="0" w:sz="0" w:val="nil"/>
          <w:left w:space="0" w:sz="0" w:val="nil"/>
          <w:bottom w:space="0" w:sz="0" w:val="nil"/>
          <w:right w:space="0" w:sz="0" w:val="nil"/>
          <w:between w:space="0" w:sz="0" w:val="nil"/>
        </w:pBdr>
        <w:spacing w:line="276" w:lineRule="auto"/>
        <w:jc w:val="both"/>
        <w:rPr>
          <w:rFonts w:ascii="Lato" w:cs="Lato" w:eastAsia="Lato" w:hAnsi="Lato"/>
          <w:color w:val="004481"/>
          <w:sz w:val="20"/>
          <w:szCs w:val="20"/>
        </w:rPr>
      </w:pPr>
      <w:r w:rsidDel="00000000" w:rsidR="00000000" w:rsidRPr="00000000">
        <w:rPr>
          <w:rtl w:val="0"/>
        </w:rPr>
      </w:r>
    </w:p>
    <w:p w:rsidR="00000000" w:rsidDel="00000000" w:rsidP="00000000" w:rsidRDefault="00000000" w:rsidRPr="00000000" w14:paraId="0000001D">
      <w:pPr>
        <w:widowControl w:val="1"/>
        <w:pBdr>
          <w:top w:space="0" w:sz="0" w:val="nil"/>
          <w:left w:space="0" w:sz="0" w:val="nil"/>
          <w:bottom w:space="0" w:sz="0" w:val="nil"/>
          <w:right w:space="0" w:sz="0" w:val="nil"/>
          <w:between w:space="0" w:sz="0" w:val="nil"/>
        </w:pBdr>
        <w:spacing w:line="276" w:lineRule="auto"/>
        <w:ind w:left="1" w:firstLine="0"/>
        <w:jc w:val="both"/>
        <w:rPr>
          <w:rFonts w:ascii="Lato" w:cs="Lato" w:eastAsia="Lato" w:hAnsi="Lato"/>
          <w:color w:val="004481"/>
          <w:sz w:val="20"/>
          <w:szCs w:val="20"/>
        </w:rPr>
      </w:pPr>
      <w:r w:rsidDel="00000000" w:rsidR="00000000" w:rsidRPr="00000000">
        <w:rPr>
          <w:rtl w:val="0"/>
        </w:rPr>
      </w:r>
    </w:p>
    <w:p w:rsidR="00000000" w:rsidDel="00000000" w:rsidP="00000000" w:rsidRDefault="00000000" w:rsidRPr="00000000" w14:paraId="0000001E">
      <w:pPr>
        <w:widowControl w:val="1"/>
        <w:pBdr>
          <w:top w:space="0" w:sz="0" w:val="nil"/>
          <w:left w:space="0" w:sz="0" w:val="nil"/>
          <w:bottom w:space="0" w:sz="0" w:val="nil"/>
          <w:right w:space="0" w:sz="0" w:val="nil"/>
          <w:between w:space="0" w:sz="0" w:val="nil"/>
        </w:pBdr>
        <w:spacing w:line="276" w:lineRule="auto"/>
        <w:ind w:left="1" w:firstLine="0"/>
        <w:jc w:val="both"/>
        <w:rPr>
          <w:rFonts w:ascii="Lato" w:cs="Lato" w:eastAsia="Lato" w:hAnsi="Lato"/>
          <w:color w:val="004481"/>
          <w:sz w:val="20"/>
          <w:szCs w:val="20"/>
        </w:rPr>
      </w:pPr>
      <w:r w:rsidDel="00000000" w:rsidR="00000000" w:rsidRPr="00000000">
        <w:rPr>
          <w:rtl w:val="0"/>
        </w:rPr>
      </w:r>
    </w:p>
    <w:p w:rsidR="00000000" w:rsidDel="00000000" w:rsidP="00000000" w:rsidRDefault="00000000" w:rsidRPr="00000000" w14:paraId="0000001F">
      <w:pPr>
        <w:widowControl w:val="1"/>
        <w:pBdr>
          <w:top w:space="0" w:sz="0" w:val="nil"/>
          <w:left w:space="0" w:sz="0" w:val="nil"/>
          <w:bottom w:space="0" w:sz="0" w:val="nil"/>
          <w:right w:space="0" w:sz="0" w:val="nil"/>
          <w:between w:space="0" w:sz="0" w:val="nil"/>
        </w:pBdr>
        <w:spacing w:line="276" w:lineRule="auto"/>
        <w:ind w:left="1" w:firstLine="0"/>
        <w:jc w:val="both"/>
        <w:rPr>
          <w:rFonts w:ascii="Lato" w:cs="Lato" w:eastAsia="Lato" w:hAnsi="Lato"/>
          <w:color w:val="004481"/>
          <w:sz w:val="20"/>
          <w:szCs w:val="20"/>
        </w:rPr>
      </w:pPr>
      <w:r w:rsidDel="00000000" w:rsidR="00000000" w:rsidRPr="00000000">
        <w:rPr>
          <w:rtl w:val="0"/>
        </w:rPr>
      </w:r>
    </w:p>
    <w:p w:rsidR="00000000" w:rsidDel="00000000" w:rsidP="00000000" w:rsidRDefault="00000000" w:rsidRPr="00000000" w14:paraId="00000020">
      <w:pPr>
        <w:widowControl w:val="1"/>
        <w:pBdr>
          <w:top w:space="0" w:sz="0" w:val="nil"/>
          <w:left w:space="0" w:sz="0" w:val="nil"/>
          <w:bottom w:space="0" w:sz="0" w:val="nil"/>
          <w:right w:space="0" w:sz="0" w:val="nil"/>
          <w:between w:space="0" w:sz="0" w:val="nil"/>
        </w:pBdr>
        <w:spacing w:line="276" w:lineRule="auto"/>
        <w:ind w:left="1" w:firstLine="0"/>
        <w:jc w:val="both"/>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El FONDO puede no ser adecuado para inversiones en las que se prevea retirar el dinero en un plazo inferior a un (1) año.</w:t>
      </w:r>
    </w:p>
    <w:p w:rsidR="00000000" w:rsidDel="00000000" w:rsidP="00000000" w:rsidRDefault="00000000" w:rsidRPr="00000000" w14:paraId="00000021">
      <w:pPr>
        <w:spacing w:line="276" w:lineRule="auto"/>
        <w:rPr>
          <w:rFonts w:ascii="Lato" w:cs="Lato" w:eastAsia="Lato" w:hAnsi="Lato"/>
          <w:color w:val="004481"/>
          <w:sz w:val="20"/>
          <w:szCs w:val="20"/>
        </w:rPr>
      </w:pPr>
      <w:r w:rsidDel="00000000" w:rsidR="00000000" w:rsidRPr="00000000">
        <w:rPr>
          <w:rtl w:val="0"/>
        </w:rPr>
      </w:r>
    </w:p>
    <w:p w:rsidR="00000000" w:rsidDel="00000000" w:rsidP="00000000" w:rsidRDefault="00000000" w:rsidRPr="00000000" w14:paraId="00000022">
      <w:pPr>
        <w:spacing w:line="276" w:lineRule="auto"/>
        <w:ind w:left="705" w:hanging="421.53543307086625"/>
        <w:rPr>
          <w:rFonts w:ascii="Lato" w:cs="Lato" w:eastAsia="Lato" w:hAnsi="Lato"/>
          <w:b w:val="1"/>
          <w:color w:val="004481"/>
          <w:sz w:val="20"/>
          <w:szCs w:val="20"/>
        </w:rPr>
      </w:pPr>
      <w:r w:rsidDel="00000000" w:rsidR="00000000" w:rsidRPr="00000000">
        <w:rPr>
          <w:rtl w:val="0"/>
        </w:rPr>
      </w:r>
    </w:p>
    <w:p w:rsidR="00000000" w:rsidDel="00000000" w:rsidP="00000000" w:rsidRDefault="00000000" w:rsidRPr="00000000" w14:paraId="00000023">
      <w:pPr>
        <w:numPr>
          <w:ilvl w:val="1"/>
          <w:numId w:val="3"/>
        </w:numPr>
        <w:pBdr>
          <w:top w:space="0" w:sz="0" w:val="nil"/>
          <w:left w:space="0" w:sz="0" w:val="nil"/>
          <w:bottom w:space="0" w:sz="0" w:val="nil"/>
          <w:right w:space="0" w:sz="0" w:val="nil"/>
          <w:between w:space="0" w:sz="0" w:val="nil"/>
        </w:pBdr>
        <w:spacing w:after="120" w:line="200" w:lineRule="auto"/>
        <w:ind w:left="705" w:right="5383" w:hanging="421.53543307086625"/>
        <w:jc w:val="both"/>
        <w:rPr>
          <w:rFonts w:ascii="Lato" w:cs="Lato" w:eastAsia="Lato" w:hAnsi="Lato"/>
          <w:color w:val="004481"/>
          <w:sz w:val="20"/>
          <w:szCs w:val="20"/>
        </w:rPr>
      </w:pPr>
      <w:r w:rsidDel="00000000" w:rsidR="00000000" w:rsidRPr="00000000">
        <w:rPr>
          <w:rFonts w:ascii="Lato" w:cs="Lato" w:eastAsia="Lato" w:hAnsi="Lato"/>
          <w:b w:val="1"/>
          <w:color w:val="004481"/>
          <w:sz w:val="20"/>
          <w:szCs w:val="20"/>
          <w:rtl w:val="0"/>
        </w:rPr>
        <w:t xml:space="preserve">Política de Inversiones</w:t>
      </w:r>
      <w:r w:rsidDel="00000000" w:rsidR="00000000" w:rsidRPr="00000000">
        <w:rPr>
          <w:rtl w:val="0"/>
        </w:rPr>
      </w:r>
    </w:p>
    <w:tbl>
      <w:tblPr>
        <w:tblStyle w:val="Table1"/>
        <w:tblW w:w="898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48"/>
        <w:gridCol w:w="1417"/>
        <w:gridCol w:w="1417"/>
        <w:tblGridChange w:id="0">
          <w:tblGrid>
            <w:gridCol w:w="6148"/>
            <w:gridCol w:w="1417"/>
            <w:gridCol w:w="1417"/>
          </w:tblGrid>
        </w:tblGridChange>
      </w:tblGrid>
      <w:tr>
        <w:trPr>
          <w:cantSplit w:val="0"/>
          <w:trHeight w:val="826" w:hRule="atLeast"/>
          <w:tblHeader w:val="0"/>
        </w:trPr>
        <w:tc>
          <w:tcPr>
            <w:tcBorders>
              <w:top w:color="02a5a5" w:space="0" w:sz="4" w:val="single"/>
              <w:left w:color="02a5a5" w:space="0" w:sz="4" w:val="single"/>
              <w:bottom w:color="02a5a5" w:space="0" w:sz="4" w:val="single"/>
              <w:right w:color="02a5a5" w:space="0" w:sz="4" w:val="single"/>
            </w:tcBorders>
            <w:shd w:fill="13b3b3" w:val="clear"/>
            <w:vAlign w:val="center"/>
          </w:tcPr>
          <w:p w:rsidR="00000000" w:rsidDel="00000000" w:rsidP="00000000" w:rsidRDefault="00000000" w:rsidRPr="00000000" w14:paraId="00000024">
            <w:pPr>
              <w:pBdr>
                <w:top w:space="0" w:sz="0" w:val="nil"/>
                <w:left w:space="0" w:sz="0" w:val="nil"/>
                <w:bottom w:space="0" w:sz="0" w:val="nil"/>
                <w:right w:space="0" w:sz="0" w:val="nil"/>
                <w:between w:space="0" w:sz="0" w:val="nil"/>
              </w:pBdr>
              <w:spacing w:before="104" w:lineRule="auto"/>
              <w:ind w:left="567" w:hanging="567"/>
              <w:jc w:val="center"/>
              <w:rPr>
                <w:rFonts w:ascii="Lato" w:cs="Lato" w:eastAsia="Lato" w:hAnsi="Lato"/>
                <w:color w:val="ffffff"/>
                <w:sz w:val="20"/>
                <w:szCs w:val="20"/>
              </w:rPr>
            </w:pPr>
            <w:r w:rsidDel="00000000" w:rsidR="00000000" w:rsidRPr="00000000">
              <w:rPr>
                <w:rFonts w:ascii="Lato" w:cs="Lato" w:eastAsia="Lato" w:hAnsi="Lato"/>
                <w:color w:val="ffffff"/>
                <w:sz w:val="20"/>
                <w:szCs w:val="20"/>
                <w:rtl w:val="0"/>
              </w:rPr>
              <w:t xml:space="preserve">POLÍTICA DE INVERSIONES</w:t>
            </w:r>
          </w:p>
        </w:tc>
        <w:tc>
          <w:tcPr>
            <w:tcBorders>
              <w:top w:color="02a5a5" w:space="0" w:sz="4" w:val="single"/>
              <w:left w:color="02a5a5" w:space="0" w:sz="4" w:val="single"/>
              <w:bottom w:color="02a5a5" w:space="0" w:sz="4" w:val="single"/>
              <w:right w:color="02a5a5" w:space="0" w:sz="4" w:val="single"/>
            </w:tcBorders>
            <w:shd w:fill="13b3b3" w:val="clear"/>
            <w:vAlign w:val="center"/>
          </w:tcPr>
          <w:p w:rsidR="00000000" w:rsidDel="00000000" w:rsidP="00000000" w:rsidRDefault="00000000" w:rsidRPr="00000000" w14:paraId="00000025">
            <w:pPr>
              <w:pBdr>
                <w:top w:space="0" w:sz="0" w:val="nil"/>
                <w:left w:space="0" w:sz="0" w:val="nil"/>
                <w:bottom w:space="0" w:sz="0" w:val="nil"/>
                <w:right w:space="0" w:sz="0" w:val="nil"/>
                <w:between w:space="0" w:sz="0" w:val="nil"/>
              </w:pBdr>
              <w:spacing w:line="202" w:lineRule="auto"/>
              <w:jc w:val="center"/>
              <w:rPr>
                <w:rFonts w:ascii="Lato" w:cs="Lato" w:eastAsia="Lato" w:hAnsi="Lato"/>
                <w:color w:val="ffffff"/>
                <w:sz w:val="20"/>
                <w:szCs w:val="20"/>
              </w:rPr>
            </w:pPr>
            <w:r w:rsidDel="00000000" w:rsidR="00000000" w:rsidRPr="00000000">
              <w:rPr>
                <w:rFonts w:ascii="Lato" w:cs="Lato" w:eastAsia="Lato" w:hAnsi="Lato"/>
                <w:color w:val="ffffff"/>
                <w:sz w:val="20"/>
                <w:szCs w:val="20"/>
                <w:rtl w:val="0"/>
              </w:rPr>
              <w:t xml:space="preserve">% MIN sobre el total del activo</w:t>
            </w:r>
          </w:p>
        </w:tc>
        <w:tc>
          <w:tcPr>
            <w:tcBorders>
              <w:top w:color="02a5a5" w:space="0" w:sz="4" w:val="single"/>
              <w:left w:color="02a5a5" w:space="0" w:sz="4" w:val="single"/>
              <w:bottom w:color="02a5a5" w:space="0" w:sz="4" w:val="single"/>
              <w:right w:color="02a5a5" w:space="0" w:sz="4" w:val="single"/>
            </w:tcBorders>
            <w:shd w:fill="13b3b3" w:val="clear"/>
            <w:vAlign w:val="center"/>
          </w:tcPr>
          <w:p w:rsidR="00000000" w:rsidDel="00000000" w:rsidP="00000000" w:rsidRDefault="00000000" w:rsidRPr="00000000" w14:paraId="00000026">
            <w:pPr>
              <w:pBdr>
                <w:top w:space="0" w:sz="0" w:val="nil"/>
                <w:left w:space="0" w:sz="0" w:val="nil"/>
                <w:bottom w:space="0" w:sz="0" w:val="nil"/>
                <w:right w:space="0" w:sz="0" w:val="nil"/>
                <w:between w:space="0" w:sz="0" w:val="nil"/>
              </w:pBdr>
              <w:spacing w:line="202" w:lineRule="auto"/>
              <w:jc w:val="center"/>
              <w:rPr>
                <w:rFonts w:ascii="Lato" w:cs="Lato" w:eastAsia="Lato" w:hAnsi="Lato"/>
                <w:color w:val="ffffff"/>
                <w:sz w:val="20"/>
                <w:szCs w:val="20"/>
              </w:rPr>
            </w:pPr>
            <w:r w:rsidDel="00000000" w:rsidR="00000000" w:rsidRPr="00000000">
              <w:rPr>
                <w:rFonts w:ascii="Lato" w:cs="Lato" w:eastAsia="Lato" w:hAnsi="Lato"/>
                <w:color w:val="ffffff"/>
                <w:sz w:val="20"/>
                <w:szCs w:val="20"/>
                <w:rtl w:val="0"/>
              </w:rPr>
              <w:t xml:space="preserve">% MAX sobre el total del activo</w:t>
            </w:r>
          </w:p>
        </w:tc>
      </w:tr>
      <w:tr>
        <w:trPr>
          <w:cantSplit w:val="0"/>
          <w:trHeight w:val="283" w:hRule="atLeast"/>
          <w:tblHeader w:val="0"/>
        </w:trPr>
        <w:tc>
          <w:tcPr>
            <w:tcBorders>
              <w:top w:color="02a5a5" w:space="0" w:sz="4" w:val="single"/>
              <w:left w:color="02a5a5" w:space="0" w:sz="4" w:val="single"/>
              <w:bottom w:color="02a5a5" w:space="0" w:sz="4" w:val="single"/>
              <w:right w:color="02a5a5" w:space="0" w:sz="4" w:val="single"/>
            </w:tcBorders>
            <w:shd w:fill="2dcccd" w:val="clear"/>
            <w:vAlign w:val="center"/>
          </w:tcPr>
          <w:p w:rsidR="00000000" w:rsidDel="00000000" w:rsidP="00000000" w:rsidRDefault="00000000" w:rsidRPr="00000000" w14:paraId="00000027">
            <w:pPr>
              <w:pBdr>
                <w:top w:space="0" w:sz="0" w:val="nil"/>
                <w:left w:space="0" w:sz="0" w:val="nil"/>
                <w:bottom w:space="0" w:sz="0" w:val="nil"/>
                <w:right w:space="0" w:sz="0" w:val="nil"/>
                <w:between w:space="0" w:sz="0" w:val="nil"/>
              </w:pBdr>
              <w:spacing w:line="212" w:lineRule="auto"/>
              <w:ind w:left="567" w:hanging="437"/>
              <w:rPr>
                <w:rFonts w:ascii="Lato" w:cs="Lato" w:eastAsia="Lato" w:hAnsi="Lato"/>
                <w:color w:val="ffffff"/>
                <w:sz w:val="20"/>
                <w:szCs w:val="20"/>
              </w:rPr>
            </w:pPr>
            <w:r w:rsidDel="00000000" w:rsidR="00000000" w:rsidRPr="00000000">
              <w:rPr>
                <w:rFonts w:ascii="Lato" w:cs="Lato" w:eastAsia="Lato" w:hAnsi="Lato"/>
                <w:color w:val="ffffff"/>
                <w:sz w:val="20"/>
                <w:szCs w:val="20"/>
                <w:rtl w:val="0"/>
              </w:rPr>
              <w:t xml:space="preserve">SEGÚN TIPO DE INSTRUMENTOS</w:t>
            </w:r>
          </w:p>
        </w:tc>
        <w:tc>
          <w:tcPr>
            <w:tcBorders>
              <w:top w:color="02a5a5" w:space="0" w:sz="4" w:val="single"/>
              <w:left w:color="02a5a5" w:space="0" w:sz="4" w:val="single"/>
              <w:bottom w:color="02a5a5" w:space="0" w:sz="4" w:val="single"/>
              <w:right w:color="02a5a5" w:space="0" w:sz="4" w:val="single"/>
            </w:tcBorders>
            <w:shd w:fill="2dcccd" w:val="clear"/>
          </w:tcPr>
          <w:p w:rsidR="00000000" w:rsidDel="00000000" w:rsidP="00000000" w:rsidRDefault="00000000" w:rsidRPr="00000000" w14:paraId="00000028">
            <w:pPr>
              <w:ind w:left="567" w:hanging="567"/>
              <w:rPr>
                <w:rFonts w:ascii="Lato" w:cs="Lato" w:eastAsia="Lato" w:hAnsi="Lato"/>
                <w:color w:val="ffffff"/>
                <w:sz w:val="20"/>
                <w:szCs w:val="20"/>
              </w:rPr>
            </w:pPr>
            <w:r w:rsidDel="00000000" w:rsidR="00000000" w:rsidRPr="00000000">
              <w:rPr>
                <w:rtl w:val="0"/>
              </w:rPr>
            </w:r>
          </w:p>
        </w:tc>
        <w:tc>
          <w:tcPr>
            <w:tcBorders>
              <w:top w:color="02a5a5" w:space="0" w:sz="4" w:val="single"/>
              <w:left w:color="02a5a5" w:space="0" w:sz="4" w:val="single"/>
              <w:bottom w:color="02a5a5" w:space="0" w:sz="4" w:val="single"/>
              <w:right w:color="02a5a5" w:space="0" w:sz="4" w:val="single"/>
            </w:tcBorders>
            <w:shd w:fill="2dcccd" w:val="clear"/>
          </w:tcPr>
          <w:p w:rsidR="00000000" w:rsidDel="00000000" w:rsidP="00000000" w:rsidRDefault="00000000" w:rsidRPr="00000000" w14:paraId="00000029">
            <w:pPr>
              <w:ind w:left="567" w:hanging="567"/>
              <w:rPr>
                <w:rFonts w:ascii="Lato" w:cs="Lato" w:eastAsia="Lato" w:hAnsi="Lato"/>
                <w:color w:val="ffffff"/>
                <w:sz w:val="20"/>
                <w:szCs w:val="20"/>
              </w:rPr>
            </w:pPr>
            <w:r w:rsidDel="00000000" w:rsidR="00000000" w:rsidRPr="00000000">
              <w:rPr>
                <w:rtl w:val="0"/>
              </w:rPr>
            </w:r>
          </w:p>
        </w:tc>
      </w:tr>
      <w:tr>
        <w:trPr>
          <w:cantSplit w:val="0"/>
          <w:trHeight w:val="289" w:hRule="atLeast"/>
          <w:tblHeader w:val="0"/>
        </w:trPr>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2A">
            <w:pPr>
              <w:pBdr>
                <w:top w:space="0" w:sz="0" w:val="nil"/>
                <w:left w:space="0" w:sz="0" w:val="nil"/>
                <w:bottom w:space="0" w:sz="0" w:val="nil"/>
                <w:right w:space="0" w:sz="0" w:val="nil"/>
                <w:between w:space="0" w:sz="0" w:val="nil"/>
              </w:pBdr>
              <w:spacing w:line="217" w:lineRule="auto"/>
              <w:ind w:left="567" w:hanging="437"/>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Instrumentos representativos de deuda</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217" w:lineRule="auto"/>
              <w:ind w:left="567" w:hanging="437"/>
              <w:rPr>
                <w:rFonts w:ascii="Lato" w:cs="Lato" w:eastAsia="Lato" w:hAnsi="Lato"/>
                <w:color w:val="004481"/>
                <w:sz w:val="20"/>
                <w:szCs w:val="20"/>
              </w:rPr>
            </w:pPr>
            <w:r w:rsidDel="00000000" w:rsidR="00000000" w:rsidRPr="00000000">
              <w:rPr>
                <w:rtl w:val="0"/>
              </w:rPr>
            </w:r>
          </w:p>
        </w:tc>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2C">
            <w:pPr>
              <w:pBdr>
                <w:top w:space="0" w:sz="0" w:val="nil"/>
                <w:left w:space="0" w:sz="0" w:val="nil"/>
                <w:bottom w:space="0" w:sz="0" w:val="nil"/>
                <w:right w:space="0" w:sz="0" w:val="nil"/>
                <w:between w:space="0" w:sz="0" w:val="nil"/>
              </w:pBdr>
              <w:spacing w:line="217" w:lineRule="auto"/>
              <w:ind w:left="567" w:hanging="567"/>
              <w:jc w:val="center"/>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100%</w:t>
            </w:r>
          </w:p>
        </w:tc>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2D">
            <w:pPr>
              <w:pBdr>
                <w:top w:space="0" w:sz="0" w:val="nil"/>
                <w:left w:space="0" w:sz="0" w:val="nil"/>
                <w:bottom w:space="0" w:sz="0" w:val="nil"/>
                <w:right w:space="0" w:sz="0" w:val="nil"/>
                <w:between w:space="0" w:sz="0" w:val="nil"/>
              </w:pBdr>
              <w:spacing w:line="217" w:lineRule="auto"/>
              <w:ind w:left="567" w:hanging="567"/>
              <w:jc w:val="center"/>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100%</w:t>
            </w:r>
          </w:p>
        </w:tc>
      </w:tr>
      <w:tr>
        <w:trPr>
          <w:cantSplit w:val="0"/>
          <w:trHeight w:val="292" w:hRule="atLeast"/>
          <w:tblHeader w:val="0"/>
        </w:trPr>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2E">
            <w:pPr>
              <w:ind w:left="567" w:hanging="437"/>
              <w:rPr>
                <w:rFonts w:ascii="Lato" w:cs="Lato" w:eastAsia="Lato" w:hAnsi="Lato"/>
                <w:color w:val="004481"/>
                <w:sz w:val="20"/>
                <w:szCs w:val="20"/>
              </w:rPr>
            </w:pPr>
            <w:r w:rsidDel="00000000" w:rsidR="00000000" w:rsidRPr="00000000">
              <w:rPr>
                <w:rtl w:val="0"/>
              </w:rPr>
            </w:r>
          </w:p>
        </w:tc>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2F">
            <w:pPr>
              <w:ind w:left="567" w:hanging="567"/>
              <w:jc w:val="center"/>
              <w:rPr>
                <w:rFonts w:ascii="Lato" w:cs="Lato" w:eastAsia="Lato" w:hAnsi="Lato"/>
                <w:color w:val="004481"/>
                <w:sz w:val="20"/>
                <w:szCs w:val="20"/>
              </w:rPr>
            </w:pPr>
            <w:r w:rsidDel="00000000" w:rsidR="00000000" w:rsidRPr="00000000">
              <w:rPr>
                <w:rtl w:val="0"/>
              </w:rPr>
            </w:r>
          </w:p>
        </w:tc>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30">
            <w:pPr>
              <w:ind w:left="567" w:hanging="567"/>
              <w:jc w:val="center"/>
              <w:rPr>
                <w:rFonts w:ascii="Lato" w:cs="Lato" w:eastAsia="Lato" w:hAnsi="Lato"/>
                <w:color w:val="004481"/>
                <w:sz w:val="20"/>
                <w:szCs w:val="20"/>
              </w:rPr>
            </w:pPr>
            <w:r w:rsidDel="00000000" w:rsidR="00000000" w:rsidRPr="00000000">
              <w:rPr>
                <w:rtl w:val="0"/>
              </w:rPr>
            </w:r>
          </w:p>
        </w:tc>
      </w:tr>
      <w:tr>
        <w:trPr>
          <w:cantSplit w:val="0"/>
          <w:trHeight w:val="278" w:hRule="atLeast"/>
          <w:tblHeader w:val="0"/>
        </w:trPr>
        <w:tc>
          <w:tcPr>
            <w:tcBorders>
              <w:top w:color="02a5a5" w:space="0" w:sz="4" w:val="single"/>
              <w:left w:color="02a5a5" w:space="0" w:sz="4" w:val="single"/>
              <w:bottom w:color="02a5a5" w:space="0" w:sz="4" w:val="single"/>
              <w:right w:color="02a5a5" w:space="0" w:sz="4" w:val="single"/>
            </w:tcBorders>
            <w:shd w:fill="2dcccd" w:val="clear"/>
            <w:vAlign w:val="center"/>
          </w:tcPr>
          <w:p w:rsidR="00000000" w:rsidDel="00000000" w:rsidP="00000000" w:rsidRDefault="00000000" w:rsidRPr="00000000" w14:paraId="00000031">
            <w:pPr>
              <w:pBdr>
                <w:top w:space="0" w:sz="0" w:val="nil"/>
                <w:left w:space="0" w:sz="0" w:val="nil"/>
                <w:bottom w:space="0" w:sz="0" w:val="nil"/>
                <w:right w:space="0" w:sz="0" w:val="nil"/>
                <w:between w:space="0" w:sz="0" w:val="nil"/>
              </w:pBdr>
              <w:spacing w:line="212" w:lineRule="auto"/>
              <w:ind w:left="567" w:hanging="437"/>
              <w:rPr>
                <w:rFonts w:ascii="Lato" w:cs="Lato" w:eastAsia="Lato" w:hAnsi="Lato"/>
                <w:color w:val="ffffff"/>
                <w:sz w:val="20"/>
                <w:szCs w:val="20"/>
              </w:rPr>
            </w:pPr>
            <w:r w:rsidDel="00000000" w:rsidR="00000000" w:rsidRPr="00000000">
              <w:rPr>
                <w:rFonts w:ascii="Lato" w:cs="Lato" w:eastAsia="Lato" w:hAnsi="Lato"/>
                <w:color w:val="ffffff"/>
                <w:sz w:val="20"/>
                <w:szCs w:val="20"/>
                <w:rtl w:val="0"/>
              </w:rPr>
              <w:t xml:space="preserve">SEGÚN MONEDA</w:t>
            </w:r>
          </w:p>
        </w:tc>
        <w:tc>
          <w:tcPr>
            <w:tcBorders>
              <w:top w:color="02a5a5" w:space="0" w:sz="4" w:val="single"/>
              <w:left w:color="02a5a5" w:space="0" w:sz="4" w:val="single"/>
              <w:bottom w:color="02a5a5" w:space="0" w:sz="4" w:val="single"/>
              <w:right w:color="02a5a5" w:space="0" w:sz="4" w:val="single"/>
            </w:tcBorders>
            <w:shd w:fill="2dcccd" w:val="clear"/>
            <w:vAlign w:val="center"/>
          </w:tcPr>
          <w:p w:rsidR="00000000" w:rsidDel="00000000" w:rsidP="00000000" w:rsidRDefault="00000000" w:rsidRPr="00000000" w14:paraId="00000032">
            <w:pPr>
              <w:ind w:left="567" w:hanging="567"/>
              <w:jc w:val="center"/>
              <w:rPr>
                <w:rFonts w:ascii="Lato" w:cs="Lato" w:eastAsia="Lato" w:hAnsi="Lato"/>
                <w:color w:val="ffffff"/>
                <w:sz w:val="20"/>
                <w:szCs w:val="20"/>
              </w:rPr>
            </w:pPr>
            <w:r w:rsidDel="00000000" w:rsidR="00000000" w:rsidRPr="00000000">
              <w:rPr>
                <w:rtl w:val="0"/>
              </w:rPr>
            </w:r>
          </w:p>
        </w:tc>
        <w:tc>
          <w:tcPr>
            <w:tcBorders>
              <w:top w:color="02a5a5" w:space="0" w:sz="4" w:val="single"/>
              <w:left w:color="02a5a5" w:space="0" w:sz="4" w:val="single"/>
              <w:bottom w:color="02a5a5" w:space="0" w:sz="4" w:val="single"/>
              <w:right w:color="02a5a5" w:space="0" w:sz="4" w:val="single"/>
            </w:tcBorders>
            <w:shd w:fill="2dcccd" w:val="clear"/>
            <w:vAlign w:val="center"/>
          </w:tcPr>
          <w:p w:rsidR="00000000" w:rsidDel="00000000" w:rsidP="00000000" w:rsidRDefault="00000000" w:rsidRPr="00000000" w14:paraId="00000033">
            <w:pPr>
              <w:ind w:left="567" w:hanging="567"/>
              <w:jc w:val="center"/>
              <w:rPr>
                <w:rFonts w:ascii="Lato" w:cs="Lato" w:eastAsia="Lato" w:hAnsi="Lato"/>
                <w:color w:val="ffffff"/>
                <w:sz w:val="20"/>
                <w:szCs w:val="20"/>
              </w:rPr>
            </w:pPr>
            <w:r w:rsidDel="00000000" w:rsidR="00000000" w:rsidRPr="00000000">
              <w:rPr>
                <w:rtl w:val="0"/>
              </w:rPr>
            </w:r>
          </w:p>
        </w:tc>
      </w:tr>
      <w:tr>
        <w:trPr>
          <w:cantSplit w:val="0"/>
          <w:trHeight w:val="294" w:hRule="atLeast"/>
          <w:tblHeader w:val="0"/>
        </w:trPr>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34">
            <w:pPr>
              <w:pBdr>
                <w:top w:space="0" w:sz="0" w:val="nil"/>
                <w:left w:space="0" w:sz="0" w:val="nil"/>
                <w:bottom w:space="0" w:sz="0" w:val="nil"/>
                <w:right w:space="0" w:sz="0" w:val="nil"/>
                <w:between w:space="0" w:sz="0" w:val="nil"/>
              </w:pBdr>
              <w:spacing w:line="212" w:lineRule="auto"/>
              <w:ind w:left="567" w:hanging="437"/>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Inversiones en moneda del valor cuota</w:t>
            </w:r>
          </w:p>
        </w:tc>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35">
            <w:pPr>
              <w:pBdr>
                <w:top w:space="0" w:sz="0" w:val="nil"/>
                <w:left w:space="0" w:sz="0" w:val="nil"/>
                <w:bottom w:space="0" w:sz="0" w:val="nil"/>
                <w:right w:space="0" w:sz="0" w:val="nil"/>
                <w:between w:space="0" w:sz="0" w:val="nil"/>
              </w:pBdr>
              <w:spacing w:line="212" w:lineRule="auto"/>
              <w:ind w:left="567" w:hanging="567"/>
              <w:jc w:val="center"/>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75%</w:t>
            </w:r>
          </w:p>
        </w:tc>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36">
            <w:pPr>
              <w:pBdr>
                <w:top w:space="0" w:sz="0" w:val="nil"/>
                <w:left w:space="0" w:sz="0" w:val="nil"/>
                <w:bottom w:space="0" w:sz="0" w:val="nil"/>
                <w:right w:space="0" w:sz="0" w:val="nil"/>
                <w:between w:space="0" w:sz="0" w:val="nil"/>
              </w:pBdr>
              <w:spacing w:line="212" w:lineRule="auto"/>
              <w:ind w:left="567" w:hanging="567"/>
              <w:jc w:val="center"/>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100%</w:t>
            </w:r>
          </w:p>
        </w:tc>
      </w:tr>
      <w:tr>
        <w:trPr>
          <w:cantSplit w:val="0"/>
          <w:trHeight w:val="288" w:hRule="atLeast"/>
          <w:tblHeader w:val="0"/>
        </w:trPr>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37">
            <w:pPr>
              <w:pBdr>
                <w:top w:space="0" w:sz="0" w:val="nil"/>
                <w:left w:space="0" w:sz="0" w:val="nil"/>
                <w:bottom w:space="0" w:sz="0" w:val="nil"/>
                <w:right w:space="0" w:sz="0" w:val="nil"/>
                <w:between w:space="0" w:sz="0" w:val="nil"/>
              </w:pBdr>
              <w:spacing w:line="214" w:lineRule="auto"/>
              <w:ind w:left="567" w:hanging="437"/>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Inversiones en moneda distinta al valor cuota</w:t>
            </w:r>
          </w:p>
        </w:tc>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38">
            <w:pPr>
              <w:pBdr>
                <w:top w:space="0" w:sz="0" w:val="nil"/>
                <w:left w:space="0" w:sz="0" w:val="nil"/>
                <w:bottom w:space="0" w:sz="0" w:val="nil"/>
                <w:right w:space="0" w:sz="0" w:val="nil"/>
                <w:between w:space="0" w:sz="0" w:val="nil"/>
              </w:pBdr>
              <w:spacing w:line="214" w:lineRule="auto"/>
              <w:ind w:left="567" w:hanging="567"/>
              <w:jc w:val="center"/>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0%</w:t>
            </w:r>
          </w:p>
        </w:tc>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39">
            <w:pPr>
              <w:pBdr>
                <w:top w:space="0" w:sz="0" w:val="nil"/>
                <w:left w:space="0" w:sz="0" w:val="nil"/>
                <w:bottom w:space="0" w:sz="0" w:val="nil"/>
                <w:right w:space="0" w:sz="0" w:val="nil"/>
                <w:between w:space="0" w:sz="0" w:val="nil"/>
              </w:pBdr>
              <w:spacing w:line="214" w:lineRule="auto"/>
              <w:ind w:left="567" w:hanging="567"/>
              <w:jc w:val="center"/>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25%</w:t>
            </w:r>
          </w:p>
        </w:tc>
      </w:tr>
      <w:tr>
        <w:trPr>
          <w:cantSplit w:val="0"/>
          <w:trHeight w:val="292" w:hRule="atLeast"/>
          <w:tblHeader w:val="0"/>
        </w:trPr>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3A">
            <w:pPr>
              <w:ind w:left="567" w:hanging="437"/>
              <w:rPr>
                <w:rFonts w:ascii="Lato" w:cs="Lato" w:eastAsia="Lato" w:hAnsi="Lato"/>
                <w:color w:val="004481"/>
                <w:sz w:val="20"/>
                <w:szCs w:val="20"/>
              </w:rPr>
            </w:pPr>
            <w:r w:rsidDel="00000000" w:rsidR="00000000" w:rsidRPr="00000000">
              <w:rPr>
                <w:rtl w:val="0"/>
              </w:rPr>
            </w:r>
          </w:p>
        </w:tc>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3B">
            <w:pPr>
              <w:ind w:left="567" w:hanging="567"/>
              <w:jc w:val="center"/>
              <w:rPr>
                <w:rFonts w:ascii="Lato" w:cs="Lato" w:eastAsia="Lato" w:hAnsi="Lato"/>
                <w:color w:val="004481"/>
                <w:sz w:val="20"/>
                <w:szCs w:val="20"/>
              </w:rPr>
            </w:pPr>
            <w:r w:rsidDel="00000000" w:rsidR="00000000" w:rsidRPr="00000000">
              <w:rPr>
                <w:rtl w:val="0"/>
              </w:rPr>
            </w:r>
          </w:p>
        </w:tc>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3C">
            <w:pPr>
              <w:ind w:left="567" w:hanging="567"/>
              <w:jc w:val="center"/>
              <w:rPr>
                <w:rFonts w:ascii="Lato" w:cs="Lato" w:eastAsia="Lato" w:hAnsi="Lato"/>
                <w:color w:val="004481"/>
                <w:sz w:val="20"/>
                <w:szCs w:val="20"/>
              </w:rPr>
            </w:pPr>
            <w:r w:rsidDel="00000000" w:rsidR="00000000" w:rsidRPr="00000000">
              <w:rPr>
                <w:rtl w:val="0"/>
              </w:rPr>
            </w:r>
          </w:p>
        </w:tc>
      </w:tr>
      <w:tr>
        <w:trPr>
          <w:cantSplit w:val="0"/>
          <w:trHeight w:val="278" w:hRule="atLeast"/>
          <w:tblHeader w:val="0"/>
        </w:trPr>
        <w:tc>
          <w:tcPr>
            <w:tcBorders>
              <w:top w:color="02a5a5" w:space="0" w:sz="4" w:val="single"/>
              <w:left w:color="02a5a5" w:space="0" w:sz="4" w:val="single"/>
              <w:bottom w:color="02a5a5" w:space="0" w:sz="4" w:val="single"/>
              <w:right w:color="02a5a5" w:space="0" w:sz="4" w:val="single"/>
            </w:tcBorders>
            <w:shd w:fill="2dcccd" w:val="clear"/>
            <w:vAlign w:val="center"/>
          </w:tcPr>
          <w:p w:rsidR="00000000" w:rsidDel="00000000" w:rsidP="00000000" w:rsidRDefault="00000000" w:rsidRPr="00000000" w14:paraId="0000003D">
            <w:pPr>
              <w:pBdr>
                <w:top w:space="0" w:sz="0" w:val="nil"/>
                <w:left w:space="0" w:sz="0" w:val="nil"/>
                <w:bottom w:space="0" w:sz="0" w:val="nil"/>
                <w:right w:space="0" w:sz="0" w:val="nil"/>
                <w:between w:space="0" w:sz="0" w:val="nil"/>
              </w:pBdr>
              <w:spacing w:line="212" w:lineRule="auto"/>
              <w:ind w:left="567" w:hanging="437"/>
              <w:rPr>
                <w:rFonts w:ascii="Lato" w:cs="Lato" w:eastAsia="Lato" w:hAnsi="Lato"/>
                <w:color w:val="ffffff"/>
                <w:sz w:val="20"/>
                <w:szCs w:val="20"/>
              </w:rPr>
            </w:pPr>
            <w:r w:rsidDel="00000000" w:rsidR="00000000" w:rsidRPr="00000000">
              <w:rPr>
                <w:rFonts w:ascii="Lato" w:cs="Lato" w:eastAsia="Lato" w:hAnsi="Lato"/>
                <w:color w:val="ffffff"/>
                <w:sz w:val="20"/>
                <w:szCs w:val="20"/>
                <w:rtl w:val="0"/>
              </w:rPr>
              <w:t xml:space="preserve">SEGÚN MERCADO</w:t>
            </w:r>
          </w:p>
        </w:tc>
        <w:tc>
          <w:tcPr>
            <w:tcBorders>
              <w:top w:color="02a5a5" w:space="0" w:sz="4" w:val="single"/>
              <w:left w:color="02a5a5" w:space="0" w:sz="4" w:val="single"/>
              <w:bottom w:color="02a5a5" w:space="0" w:sz="4" w:val="single"/>
              <w:right w:color="02a5a5" w:space="0" w:sz="4" w:val="single"/>
            </w:tcBorders>
            <w:shd w:fill="2dcccd" w:val="clear"/>
            <w:vAlign w:val="center"/>
          </w:tcPr>
          <w:p w:rsidR="00000000" w:rsidDel="00000000" w:rsidP="00000000" w:rsidRDefault="00000000" w:rsidRPr="00000000" w14:paraId="0000003E">
            <w:pPr>
              <w:ind w:left="567" w:hanging="567"/>
              <w:jc w:val="center"/>
              <w:rPr>
                <w:rFonts w:ascii="Lato" w:cs="Lato" w:eastAsia="Lato" w:hAnsi="Lato"/>
                <w:color w:val="ffffff"/>
                <w:sz w:val="20"/>
                <w:szCs w:val="20"/>
              </w:rPr>
            </w:pPr>
            <w:r w:rsidDel="00000000" w:rsidR="00000000" w:rsidRPr="00000000">
              <w:rPr>
                <w:rtl w:val="0"/>
              </w:rPr>
            </w:r>
          </w:p>
        </w:tc>
        <w:tc>
          <w:tcPr>
            <w:tcBorders>
              <w:top w:color="02a5a5" w:space="0" w:sz="4" w:val="single"/>
              <w:left w:color="02a5a5" w:space="0" w:sz="4" w:val="single"/>
              <w:bottom w:color="02a5a5" w:space="0" w:sz="4" w:val="single"/>
              <w:right w:color="02a5a5" w:space="0" w:sz="4" w:val="single"/>
            </w:tcBorders>
            <w:shd w:fill="2dcccd" w:val="clear"/>
            <w:vAlign w:val="center"/>
          </w:tcPr>
          <w:p w:rsidR="00000000" w:rsidDel="00000000" w:rsidP="00000000" w:rsidRDefault="00000000" w:rsidRPr="00000000" w14:paraId="0000003F">
            <w:pPr>
              <w:ind w:left="567" w:hanging="567"/>
              <w:jc w:val="center"/>
              <w:rPr>
                <w:rFonts w:ascii="Lato" w:cs="Lato" w:eastAsia="Lato" w:hAnsi="Lato"/>
                <w:color w:val="ffffff"/>
                <w:sz w:val="20"/>
                <w:szCs w:val="20"/>
              </w:rPr>
            </w:pPr>
            <w:r w:rsidDel="00000000" w:rsidR="00000000" w:rsidRPr="00000000">
              <w:rPr>
                <w:rtl w:val="0"/>
              </w:rPr>
            </w:r>
          </w:p>
        </w:tc>
      </w:tr>
      <w:tr>
        <w:trPr>
          <w:cantSplit w:val="0"/>
          <w:trHeight w:val="293" w:hRule="atLeast"/>
          <w:tblHeader w:val="0"/>
        </w:trPr>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40">
            <w:pPr>
              <w:pBdr>
                <w:top w:space="0" w:sz="0" w:val="nil"/>
                <w:left w:space="0" w:sz="0" w:val="nil"/>
                <w:bottom w:space="0" w:sz="0" w:val="nil"/>
                <w:right w:space="0" w:sz="0" w:val="nil"/>
                <w:between w:space="0" w:sz="0" w:val="nil"/>
              </w:pBdr>
              <w:spacing w:line="212" w:lineRule="auto"/>
              <w:ind w:left="567" w:hanging="437"/>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Inversiones en el mercado nacional</w:t>
            </w:r>
          </w:p>
        </w:tc>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41">
            <w:pPr>
              <w:pBdr>
                <w:top w:space="0" w:sz="0" w:val="nil"/>
                <w:left w:space="0" w:sz="0" w:val="nil"/>
                <w:bottom w:space="0" w:sz="0" w:val="nil"/>
                <w:right w:space="0" w:sz="0" w:val="nil"/>
                <w:between w:space="0" w:sz="0" w:val="nil"/>
              </w:pBdr>
              <w:spacing w:line="212" w:lineRule="auto"/>
              <w:ind w:left="567" w:hanging="567"/>
              <w:jc w:val="center"/>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0%</w:t>
            </w:r>
          </w:p>
        </w:tc>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42">
            <w:pPr>
              <w:pBdr>
                <w:top w:space="0" w:sz="0" w:val="nil"/>
                <w:left w:space="0" w:sz="0" w:val="nil"/>
                <w:bottom w:space="0" w:sz="0" w:val="nil"/>
                <w:right w:space="0" w:sz="0" w:val="nil"/>
                <w:between w:space="0" w:sz="0" w:val="nil"/>
              </w:pBdr>
              <w:spacing w:line="212" w:lineRule="auto"/>
              <w:ind w:left="567" w:hanging="567"/>
              <w:jc w:val="center"/>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100%</w:t>
            </w:r>
          </w:p>
        </w:tc>
      </w:tr>
      <w:tr>
        <w:trPr>
          <w:cantSplit w:val="0"/>
          <w:trHeight w:val="288" w:hRule="atLeast"/>
          <w:tblHeader w:val="0"/>
        </w:trPr>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43">
            <w:pPr>
              <w:pBdr>
                <w:top w:space="0" w:sz="0" w:val="nil"/>
                <w:left w:space="0" w:sz="0" w:val="nil"/>
                <w:bottom w:space="0" w:sz="0" w:val="nil"/>
                <w:right w:space="0" w:sz="0" w:val="nil"/>
                <w:between w:space="0" w:sz="0" w:val="nil"/>
              </w:pBdr>
              <w:spacing w:line="212" w:lineRule="auto"/>
              <w:ind w:left="567" w:hanging="437"/>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Inversiones en el mercado extranjero</w:t>
            </w:r>
          </w:p>
        </w:tc>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44">
            <w:pPr>
              <w:pBdr>
                <w:top w:space="0" w:sz="0" w:val="nil"/>
                <w:left w:space="0" w:sz="0" w:val="nil"/>
                <w:bottom w:space="0" w:sz="0" w:val="nil"/>
                <w:right w:space="0" w:sz="0" w:val="nil"/>
                <w:between w:space="0" w:sz="0" w:val="nil"/>
              </w:pBdr>
              <w:spacing w:line="212" w:lineRule="auto"/>
              <w:ind w:left="567" w:hanging="567"/>
              <w:jc w:val="center"/>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0%</w:t>
            </w:r>
          </w:p>
        </w:tc>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45">
            <w:pPr>
              <w:pBdr>
                <w:top w:space="0" w:sz="0" w:val="nil"/>
                <w:left w:space="0" w:sz="0" w:val="nil"/>
                <w:bottom w:space="0" w:sz="0" w:val="nil"/>
                <w:right w:space="0" w:sz="0" w:val="nil"/>
                <w:between w:space="0" w:sz="0" w:val="nil"/>
              </w:pBdr>
              <w:spacing w:line="212" w:lineRule="auto"/>
              <w:ind w:left="567" w:hanging="567"/>
              <w:jc w:val="center"/>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100%</w:t>
            </w:r>
          </w:p>
        </w:tc>
      </w:tr>
      <w:tr>
        <w:trPr>
          <w:cantSplit w:val="0"/>
          <w:trHeight w:val="288" w:hRule="atLeast"/>
          <w:tblHeader w:val="0"/>
        </w:trPr>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46">
            <w:pPr>
              <w:ind w:left="567" w:hanging="437"/>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                                                                                                                                                                                                                              </w:t>
            </w:r>
          </w:p>
        </w:tc>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47">
            <w:pPr>
              <w:ind w:left="567" w:hanging="567"/>
              <w:jc w:val="center"/>
              <w:rPr>
                <w:rFonts w:ascii="Lato" w:cs="Lato" w:eastAsia="Lato" w:hAnsi="Lato"/>
                <w:color w:val="004481"/>
                <w:sz w:val="20"/>
                <w:szCs w:val="20"/>
              </w:rPr>
            </w:pPr>
            <w:r w:rsidDel="00000000" w:rsidR="00000000" w:rsidRPr="00000000">
              <w:rPr>
                <w:rtl w:val="0"/>
              </w:rPr>
            </w:r>
          </w:p>
        </w:tc>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48">
            <w:pPr>
              <w:ind w:left="567" w:hanging="567"/>
              <w:jc w:val="center"/>
              <w:rPr>
                <w:rFonts w:ascii="Lato" w:cs="Lato" w:eastAsia="Lato" w:hAnsi="Lato"/>
                <w:color w:val="004481"/>
                <w:sz w:val="20"/>
                <w:szCs w:val="20"/>
              </w:rPr>
            </w:pPr>
            <w:r w:rsidDel="00000000" w:rsidR="00000000" w:rsidRPr="00000000">
              <w:rPr>
                <w:rtl w:val="0"/>
              </w:rPr>
            </w:r>
          </w:p>
        </w:tc>
      </w:tr>
      <w:tr>
        <w:trPr>
          <w:cantSplit w:val="0"/>
          <w:trHeight w:val="283" w:hRule="atLeast"/>
          <w:tblHeader w:val="0"/>
        </w:trPr>
        <w:tc>
          <w:tcPr>
            <w:tcBorders>
              <w:top w:color="02a5a5" w:space="0" w:sz="4" w:val="single"/>
              <w:left w:color="02a5a5" w:space="0" w:sz="4" w:val="single"/>
              <w:bottom w:color="02a5a5" w:space="0" w:sz="4" w:val="single"/>
              <w:right w:color="02a5a5" w:space="0" w:sz="4" w:val="single"/>
            </w:tcBorders>
            <w:shd w:fill="2dcccd" w:val="clear"/>
            <w:vAlign w:val="center"/>
          </w:tcPr>
          <w:p w:rsidR="00000000" w:rsidDel="00000000" w:rsidP="00000000" w:rsidRDefault="00000000" w:rsidRPr="00000000" w14:paraId="00000049">
            <w:pPr>
              <w:pBdr>
                <w:top w:space="0" w:sz="0" w:val="nil"/>
                <w:left w:space="0" w:sz="0" w:val="nil"/>
                <w:bottom w:space="0" w:sz="0" w:val="nil"/>
                <w:right w:space="0" w:sz="0" w:val="nil"/>
                <w:between w:space="0" w:sz="0" w:val="nil"/>
              </w:pBdr>
              <w:spacing w:line="212" w:lineRule="auto"/>
              <w:ind w:left="567" w:hanging="437"/>
              <w:rPr>
                <w:rFonts w:ascii="Lato" w:cs="Lato" w:eastAsia="Lato" w:hAnsi="Lato"/>
                <w:color w:val="ffffff"/>
                <w:sz w:val="20"/>
                <w:szCs w:val="20"/>
              </w:rPr>
            </w:pPr>
            <w:r w:rsidDel="00000000" w:rsidR="00000000" w:rsidRPr="00000000">
              <w:rPr>
                <w:rFonts w:ascii="Lato" w:cs="Lato" w:eastAsia="Lato" w:hAnsi="Lato"/>
                <w:color w:val="ffffff"/>
                <w:sz w:val="20"/>
                <w:szCs w:val="20"/>
                <w:rtl w:val="0"/>
              </w:rPr>
              <w:t xml:space="preserve">SEGÚN CLASIFICACIÓN DE RIESGO</w:t>
            </w:r>
          </w:p>
        </w:tc>
        <w:tc>
          <w:tcPr>
            <w:tcBorders>
              <w:top w:color="02a5a5" w:space="0" w:sz="4" w:val="single"/>
              <w:left w:color="02a5a5" w:space="0" w:sz="4" w:val="single"/>
              <w:bottom w:color="02a5a5" w:space="0" w:sz="4" w:val="single"/>
              <w:right w:color="02a5a5" w:space="0" w:sz="4" w:val="single"/>
            </w:tcBorders>
            <w:shd w:fill="2dcccd" w:val="clear"/>
            <w:vAlign w:val="center"/>
          </w:tcPr>
          <w:p w:rsidR="00000000" w:rsidDel="00000000" w:rsidP="00000000" w:rsidRDefault="00000000" w:rsidRPr="00000000" w14:paraId="0000004A">
            <w:pPr>
              <w:ind w:left="567" w:hanging="567"/>
              <w:jc w:val="center"/>
              <w:rPr>
                <w:rFonts w:ascii="Lato" w:cs="Lato" w:eastAsia="Lato" w:hAnsi="Lato"/>
                <w:color w:val="ffffff"/>
                <w:sz w:val="20"/>
                <w:szCs w:val="20"/>
              </w:rPr>
            </w:pPr>
            <w:r w:rsidDel="00000000" w:rsidR="00000000" w:rsidRPr="00000000">
              <w:rPr>
                <w:rtl w:val="0"/>
              </w:rPr>
            </w:r>
          </w:p>
        </w:tc>
        <w:tc>
          <w:tcPr>
            <w:tcBorders>
              <w:top w:color="02a5a5" w:space="0" w:sz="4" w:val="single"/>
              <w:left w:color="02a5a5" w:space="0" w:sz="4" w:val="single"/>
              <w:bottom w:color="02a5a5" w:space="0" w:sz="4" w:val="single"/>
              <w:right w:color="02a5a5" w:space="0" w:sz="4" w:val="single"/>
            </w:tcBorders>
            <w:shd w:fill="2dcccd" w:val="clear"/>
            <w:vAlign w:val="center"/>
          </w:tcPr>
          <w:p w:rsidR="00000000" w:rsidDel="00000000" w:rsidP="00000000" w:rsidRDefault="00000000" w:rsidRPr="00000000" w14:paraId="0000004B">
            <w:pPr>
              <w:ind w:left="567" w:hanging="567"/>
              <w:jc w:val="center"/>
              <w:rPr>
                <w:rFonts w:ascii="Lato" w:cs="Lato" w:eastAsia="Lato" w:hAnsi="Lato"/>
                <w:color w:val="ffffff"/>
                <w:sz w:val="20"/>
                <w:szCs w:val="20"/>
              </w:rPr>
            </w:pPr>
            <w:r w:rsidDel="00000000" w:rsidR="00000000" w:rsidRPr="00000000">
              <w:rPr>
                <w:rtl w:val="0"/>
              </w:rPr>
            </w:r>
          </w:p>
        </w:tc>
      </w:tr>
      <w:tr>
        <w:trPr>
          <w:cantSplit w:val="0"/>
          <w:trHeight w:val="281" w:hRule="atLeast"/>
          <w:tblHeader w:val="0"/>
        </w:trPr>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4C">
            <w:pPr>
              <w:pBdr>
                <w:top w:space="0" w:sz="0" w:val="nil"/>
                <w:left w:space="0" w:sz="0" w:val="nil"/>
                <w:bottom w:space="0" w:sz="0" w:val="nil"/>
                <w:right w:space="0" w:sz="0" w:val="nil"/>
                <w:between w:space="0" w:sz="0" w:val="nil"/>
              </w:pBdr>
              <w:spacing w:line="212" w:lineRule="auto"/>
              <w:ind w:left="567" w:hanging="437"/>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Inversiones con clasificaciones de riesgo local</w:t>
            </w:r>
          </w:p>
        </w:tc>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4D">
            <w:pPr>
              <w:ind w:left="567" w:hanging="567"/>
              <w:jc w:val="center"/>
              <w:rPr>
                <w:rFonts w:ascii="Lato" w:cs="Lato" w:eastAsia="Lato" w:hAnsi="Lato"/>
                <w:color w:val="004481"/>
                <w:sz w:val="20"/>
                <w:szCs w:val="20"/>
              </w:rPr>
            </w:pPr>
            <w:r w:rsidDel="00000000" w:rsidR="00000000" w:rsidRPr="00000000">
              <w:rPr>
                <w:rtl w:val="0"/>
              </w:rPr>
            </w:r>
          </w:p>
        </w:tc>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4E">
            <w:pPr>
              <w:ind w:left="567" w:hanging="567"/>
              <w:jc w:val="center"/>
              <w:rPr>
                <w:rFonts w:ascii="Lato" w:cs="Lato" w:eastAsia="Lato" w:hAnsi="Lato"/>
                <w:color w:val="004481"/>
                <w:sz w:val="20"/>
                <w:szCs w:val="20"/>
              </w:rPr>
            </w:pPr>
            <w:r w:rsidDel="00000000" w:rsidR="00000000" w:rsidRPr="00000000">
              <w:rPr>
                <w:rtl w:val="0"/>
              </w:rPr>
            </w:r>
          </w:p>
        </w:tc>
      </w:tr>
      <w:tr>
        <w:trPr>
          <w:cantSplit w:val="0"/>
          <w:trHeight w:val="278" w:hRule="atLeast"/>
          <w:tblHeader w:val="0"/>
        </w:trPr>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4F">
            <w:pPr>
              <w:pBdr>
                <w:top w:space="0" w:sz="0" w:val="nil"/>
                <w:left w:space="0" w:sz="0" w:val="nil"/>
                <w:bottom w:space="0" w:sz="0" w:val="nil"/>
                <w:right w:space="0" w:sz="0" w:val="nil"/>
                <w:between w:space="0" w:sz="0" w:val="nil"/>
              </w:pBdr>
              <w:spacing w:before="3" w:lineRule="auto"/>
              <w:ind w:left="567" w:hanging="437"/>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Categoría AAA hasta AA- en Largo Plazo y CP-1 en Corto Plazo</w:t>
            </w:r>
          </w:p>
        </w:tc>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50">
            <w:pPr>
              <w:pBdr>
                <w:top w:space="0" w:sz="0" w:val="nil"/>
                <w:left w:space="0" w:sz="0" w:val="nil"/>
                <w:bottom w:space="0" w:sz="0" w:val="nil"/>
                <w:right w:space="0" w:sz="0" w:val="nil"/>
                <w:between w:space="0" w:sz="0" w:val="nil"/>
              </w:pBdr>
              <w:spacing w:line="212" w:lineRule="auto"/>
              <w:ind w:left="567" w:hanging="567"/>
              <w:jc w:val="center"/>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0%</w:t>
            </w:r>
          </w:p>
        </w:tc>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51">
            <w:pPr>
              <w:pBdr>
                <w:top w:space="0" w:sz="0" w:val="nil"/>
                <w:left w:space="0" w:sz="0" w:val="nil"/>
                <w:bottom w:space="0" w:sz="0" w:val="nil"/>
                <w:right w:space="0" w:sz="0" w:val="nil"/>
                <w:between w:space="0" w:sz="0" w:val="nil"/>
              </w:pBdr>
              <w:spacing w:line="212" w:lineRule="auto"/>
              <w:ind w:left="567" w:hanging="567"/>
              <w:jc w:val="center"/>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100%</w:t>
            </w:r>
          </w:p>
        </w:tc>
      </w:tr>
      <w:tr>
        <w:trPr>
          <w:cantSplit w:val="0"/>
          <w:trHeight w:val="281" w:hRule="atLeast"/>
          <w:tblHeader w:val="0"/>
        </w:trPr>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52">
            <w:pPr>
              <w:ind w:left="567" w:hanging="437"/>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Categoría A+ hasta A- en Largo Plazo y CP-2 en Corto Plazo</w:t>
            </w:r>
          </w:p>
        </w:tc>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53">
            <w:pPr>
              <w:ind w:left="567" w:hanging="567"/>
              <w:jc w:val="center"/>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0%</w:t>
            </w:r>
          </w:p>
        </w:tc>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54">
            <w:pPr>
              <w:ind w:left="567" w:hanging="567"/>
              <w:jc w:val="center"/>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50%</w:t>
            </w:r>
          </w:p>
        </w:tc>
      </w:tr>
      <w:tr>
        <w:trPr>
          <w:cantSplit w:val="0"/>
          <w:trHeight w:val="281" w:hRule="atLeast"/>
          <w:tblHeader w:val="0"/>
        </w:trPr>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55">
            <w:pPr>
              <w:ind w:left="567" w:hanging="437"/>
              <w:rPr>
                <w:rFonts w:ascii="Lato" w:cs="Lato" w:eastAsia="Lato" w:hAnsi="Lato"/>
                <w:color w:val="004481"/>
                <w:sz w:val="20"/>
                <w:szCs w:val="20"/>
              </w:rPr>
            </w:pPr>
            <w:r w:rsidDel="00000000" w:rsidR="00000000" w:rsidRPr="00000000">
              <w:rPr>
                <w:rtl w:val="0"/>
              </w:rPr>
            </w:r>
          </w:p>
        </w:tc>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56">
            <w:pPr>
              <w:ind w:left="567" w:hanging="567"/>
              <w:jc w:val="center"/>
              <w:rPr>
                <w:rFonts w:ascii="Lato" w:cs="Lato" w:eastAsia="Lato" w:hAnsi="Lato"/>
                <w:color w:val="004481"/>
                <w:sz w:val="20"/>
                <w:szCs w:val="20"/>
              </w:rPr>
            </w:pPr>
            <w:r w:rsidDel="00000000" w:rsidR="00000000" w:rsidRPr="00000000">
              <w:rPr>
                <w:rtl w:val="0"/>
              </w:rPr>
            </w:r>
          </w:p>
        </w:tc>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57">
            <w:pPr>
              <w:ind w:left="567" w:hanging="567"/>
              <w:jc w:val="center"/>
              <w:rPr>
                <w:rFonts w:ascii="Lato" w:cs="Lato" w:eastAsia="Lato" w:hAnsi="Lato"/>
                <w:color w:val="004481"/>
                <w:sz w:val="20"/>
                <w:szCs w:val="20"/>
              </w:rPr>
            </w:pPr>
            <w:r w:rsidDel="00000000" w:rsidR="00000000" w:rsidRPr="00000000">
              <w:rPr>
                <w:rtl w:val="0"/>
              </w:rPr>
            </w:r>
          </w:p>
        </w:tc>
      </w:tr>
      <w:tr>
        <w:trPr>
          <w:cantSplit w:val="0"/>
          <w:trHeight w:val="281" w:hRule="atLeast"/>
          <w:tblHeader w:val="0"/>
        </w:trPr>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58">
            <w:pPr>
              <w:pBdr>
                <w:top w:space="0" w:sz="0" w:val="nil"/>
                <w:left w:space="0" w:sz="0" w:val="nil"/>
                <w:bottom w:space="0" w:sz="0" w:val="nil"/>
                <w:right w:space="0" w:sz="0" w:val="nil"/>
                <w:between w:space="0" w:sz="0" w:val="nil"/>
              </w:pBdr>
              <w:spacing w:line="212" w:lineRule="auto"/>
              <w:ind w:left="567" w:hanging="437"/>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Inversiones en Entidades Financieras</w:t>
            </w:r>
          </w:p>
        </w:tc>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59">
            <w:pPr>
              <w:ind w:left="567" w:hanging="567"/>
              <w:jc w:val="center"/>
              <w:rPr>
                <w:rFonts w:ascii="Lato" w:cs="Lato" w:eastAsia="Lato" w:hAnsi="Lato"/>
                <w:color w:val="004481"/>
                <w:sz w:val="20"/>
                <w:szCs w:val="20"/>
              </w:rPr>
            </w:pPr>
            <w:r w:rsidDel="00000000" w:rsidR="00000000" w:rsidRPr="00000000">
              <w:rPr>
                <w:rtl w:val="0"/>
              </w:rPr>
            </w:r>
          </w:p>
        </w:tc>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5A">
            <w:pPr>
              <w:ind w:left="567" w:hanging="567"/>
              <w:jc w:val="center"/>
              <w:rPr>
                <w:rFonts w:ascii="Lato" w:cs="Lato" w:eastAsia="Lato" w:hAnsi="Lato"/>
                <w:color w:val="004481"/>
                <w:sz w:val="20"/>
                <w:szCs w:val="20"/>
              </w:rPr>
            </w:pPr>
            <w:r w:rsidDel="00000000" w:rsidR="00000000" w:rsidRPr="00000000">
              <w:rPr>
                <w:rtl w:val="0"/>
              </w:rPr>
            </w:r>
          </w:p>
        </w:tc>
      </w:tr>
      <w:tr>
        <w:trPr>
          <w:cantSplit w:val="0"/>
          <w:trHeight w:val="292" w:hRule="atLeast"/>
          <w:tblHeader w:val="0"/>
        </w:trPr>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5B">
            <w:pPr>
              <w:pBdr>
                <w:top w:space="0" w:sz="0" w:val="nil"/>
                <w:left w:space="0" w:sz="0" w:val="nil"/>
                <w:bottom w:space="0" w:sz="0" w:val="nil"/>
                <w:right w:space="0" w:sz="0" w:val="nil"/>
                <w:between w:space="0" w:sz="0" w:val="nil"/>
              </w:pBdr>
              <w:spacing w:line="212" w:lineRule="auto"/>
              <w:ind w:left="567" w:hanging="437"/>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Categoría A+ hasta A-</w:t>
            </w:r>
          </w:p>
        </w:tc>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5C">
            <w:pPr>
              <w:pBdr>
                <w:top w:space="0" w:sz="0" w:val="nil"/>
                <w:left w:space="0" w:sz="0" w:val="nil"/>
                <w:bottom w:space="0" w:sz="0" w:val="nil"/>
                <w:right w:space="0" w:sz="0" w:val="nil"/>
                <w:between w:space="0" w:sz="0" w:val="nil"/>
              </w:pBdr>
              <w:spacing w:line="212" w:lineRule="auto"/>
              <w:ind w:left="567" w:hanging="567"/>
              <w:jc w:val="center"/>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0%</w:t>
            </w:r>
          </w:p>
        </w:tc>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5D">
            <w:pPr>
              <w:pBdr>
                <w:top w:space="0" w:sz="0" w:val="nil"/>
                <w:left w:space="0" w:sz="0" w:val="nil"/>
                <w:bottom w:space="0" w:sz="0" w:val="nil"/>
                <w:right w:space="0" w:sz="0" w:val="nil"/>
                <w:between w:space="0" w:sz="0" w:val="nil"/>
              </w:pBdr>
              <w:spacing w:line="212" w:lineRule="auto"/>
              <w:ind w:left="567" w:hanging="567"/>
              <w:jc w:val="center"/>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100%</w:t>
            </w:r>
          </w:p>
        </w:tc>
      </w:tr>
      <w:tr>
        <w:trPr>
          <w:cantSplit w:val="0"/>
          <w:trHeight w:val="284" w:hRule="atLeast"/>
          <w:tblHeader w:val="0"/>
        </w:trPr>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5E">
            <w:pPr>
              <w:ind w:left="567" w:hanging="437"/>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Categoría B+ hasta B-</w:t>
            </w:r>
          </w:p>
        </w:tc>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5F">
            <w:pPr>
              <w:ind w:left="567" w:hanging="567"/>
              <w:jc w:val="center"/>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0%</w:t>
            </w:r>
          </w:p>
        </w:tc>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60">
            <w:pPr>
              <w:ind w:left="567" w:hanging="567"/>
              <w:jc w:val="center"/>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50%</w:t>
            </w:r>
          </w:p>
        </w:tc>
      </w:tr>
      <w:tr>
        <w:trPr>
          <w:cantSplit w:val="0"/>
          <w:trHeight w:val="284" w:hRule="atLeast"/>
          <w:tblHeader w:val="0"/>
        </w:trPr>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61">
            <w:pPr>
              <w:ind w:left="567" w:hanging="437"/>
              <w:rPr>
                <w:rFonts w:ascii="Lato" w:cs="Lato" w:eastAsia="Lato" w:hAnsi="Lato"/>
                <w:color w:val="004481"/>
                <w:sz w:val="20"/>
                <w:szCs w:val="20"/>
              </w:rPr>
            </w:pPr>
            <w:r w:rsidDel="00000000" w:rsidR="00000000" w:rsidRPr="00000000">
              <w:rPr>
                <w:rtl w:val="0"/>
              </w:rPr>
            </w:r>
          </w:p>
        </w:tc>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62">
            <w:pPr>
              <w:ind w:left="567" w:hanging="567"/>
              <w:jc w:val="center"/>
              <w:rPr>
                <w:rFonts w:ascii="Lato" w:cs="Lato" w:eastAsia="Lato" w:hAnsi="Lato"/>
                <w:color w:val="004481"/>
                <w:sz w:val="20"/>
                <w:szCs w:val="20"/>
              </w:rPr>
            </w:pPr>
            <w:r w:rsidDel="00000000" w:rsidR="00000000" w:rsidRPr="00000000">
              <w:rPr>
                <w:rtl w:val="0"/>
              </w:rPr>
            </w:r>
          </w:p>
        </w:tc>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63">
            <w:pPr>
              <w:ind w:left="567" w:hanging="567"/>
              <w:jc w:val="center"/>
              <w:rPr>
                <w:rFonts w:ascii="Lato" w:cs="Lato" w:eastAsia="Lato" w:hAnsi="Lato"/>
                <w:color w:val="004481"/>
                <w:sz w:val="20"/>
                <w:szCs w:val="20"/>
              </w:rPr>
            </w:pPr>
            <w:r w:rsidDel="00000000" w:rsidR="00000000" w:rsidRPr="00000000">
              <w:rPr>
                <w:rtl w:val="0"/>
              </w:rPr>
            </w:r>
          </w:p>
        </w:tc>
      </w:tr>
      <w:tr>
        <w:trPr>
          <w:cantSplit w:val="0"/>
          <w:trHeight w:val="288" w:hRule="atLeast"/>
          <w:tblHeader w:val="0"/>
        </w:trPr>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64">
            <w:pPr>
              <w:pBdr>
                <w:top w:space="0" w:sz="0" w:val="nil"/>
                <w:left w:space="0" w:sz="0" w:val="nil"/>
                <w:bottom w:space="0" w:sz="0" w:val="nil"/>
                <w:right w:space="0" w:sz="0" w:val="nil"/>
                <w:between w:space="0" w:sz="0" w:val="nil"/>
              </w:pBdr>
              <w:spacing w:line="212" w:lineRule="auto"/>
              <w:ind w:left="567" w:hanging="437"/>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Inversiones con clasificaciones de riesgo internacional</w:t>
            </w:r>
          </w:p>
        </w:tc>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65">
            <w:pPr>
              <w:ind w:left="567" w:hanging="567"/>
              <w:jc w:val="center"/>
              <w:rPr>
                <w:rFonts w:ascii="Lato" w:cs="Lato" w:eastAsia="Lato" w:hAnsi="Lato"/>
                <w:color w:val="004481"/>
                <w:sz w:val="20"/>
                <w:szCs w:val="20"/>
              </w:rPr>
            </w:pPr>
            <w:r w:rsidDel="00000000" w:rsidR="00000000" w:rsidRPr="00000000">
              <w:rPr>
                <w:rtl w:val="0"/>
              </w:rPr>
            </w:r>
          </w:p>
        </w:tc>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66">
            <w:pPr>
              <w:ind w:left="567" w:hanging="567"/>
              <w:jc w:val="center"/>
              <w:rPr>
                <w:rFonts w:ascii="Lato" w:cs="Lato" w:eastAsia="Lato" w:hAnsi="Lato"/>
                <w:color w:val="004481"/>
                <w:sz w:val="20"/>
                <w:szCs w:val="20"/>
              </w:rPr>
            </w:pPr>
            <w:r w:rsidDel="00000000" w:rsidR="00000000" w:rsidRPr="00000000">
              <w:rPr>
                <w:rtl w:val="0"/>
              </w:rPr>
            </w:r>
          </w:p>
        </w:tc>
      </w:tr>
      <w:tr>
        <w:trPr>
          <w:cantSplit w:val="0"/>
          <w:trHeight w:val="288" w:hRule="atLeast"/>
          <w:tblHeader w:val="0"/>
        </w:trPr>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67">
            <w:pPr>
              <w:pBdr>
                <w:top w:space="0" w:sz="0" w:val="nil"/>
                <w:left w:space="0" w:sz="0" w:val="nil"/>
                <w:bottom w:space="0" w:sz="0" w:val="nil"/>
                <w:right w:space="0" w:sz="0" w:val="nil"/>
                <w:between w:space="0" w:sz="0" w:val="nil"/>
              </w:pBdr>
              <w:spacing w:before="3" w:lineRule="auto"/>
              <w:ind w:left="567" w:hanging="437"/>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Categoría AAA hasta BBB- en Largo Plazo y CP-1 en Corto Plazo</w:t>
            </w:r>
          </w:p>
        </w:tc>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68">
            <w:pPr>
              <w:pBdr>
                <w:top w:space="0" w:sz="0" w:val="nil"/>
                <w:left w:space="0" w:sz="0" w:val="nil"/>
                <w:bottom w:space="0" w:sz="0" w:val="nil"/>
                <w:right w:space="0" w:sz="0" w:val="nil"/>
                <w:between w:space="0" w:sz="0" w:val="nil"/>
              </w:pBdr>
              <w:spacing w:line="212" w:lineRule="auto"/>
              <w:ind w:left="567" w:hanging="567"/>
              <w:jc w:val="center"/>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0%</w:t>
            </w:r>
          </w:p>
        </w:tc>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69">
            <w:pPr>
              <w:pBdr>
                <w:top w:space="0" w:sz="0" w:val="nil"/>
                <w:left w:space="0" w:sz="0" w:val="nil"/>
                <w:bottom w:space="0" w:sz="0" w:val="nil"/>
                <w:right w:space="0" w:sz="0" w:val="nil"/>
                <w:between w:space="0" w:sz="0" w:val="nil"/>
              </w:pBdr>
              <w:spacing w:line="212" w:lineRule="auto"/>
              <w:ind w:left="567" w:hanging="567"/>
              <w:jc w:val="center"/>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100%</w:t>
            </w:r>
          </w:p>
        </w:tc>
      </w:tr>
      <w:tr>
        <w:trPr>
          <w:cantSplit w:val="0"/>
          <w:trHeight w:val="288" w:hRule="atLeast"/>
          <w:tblHeader w:val="0"/>
        </w:trPr>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6A">
            <w:pPr>
              <w:ind w:left="567" w:hanging="437"/>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Categoría BB+ hasta BB- en Largo Plazo y CP-2 en Corto Plazo</w:t>
            </w:r>
          </w:p>
        </w:tc>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6B">
            <w:pPr>
              <w:ind w:left="567" w:hanging="567"/>
              <w:jc w:val="center"/>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0%</w:t>
            </w:r>
          </w:p>
        </w:tc>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6C">
            <w:pPr>
              <w:ind w:left="567" w:hanging="567"/>
              <w:jc w:val="center"/>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50%</w:t>
            </w:r>
          </w:p>
        </w:tc>
      </w:tr>
      <w:tr>
        <w:trPr>
          <w:cantSplit w:val="0"/>
          <w:trHeight w:val="288" w:hRule="atLeast"/>
          <w:tblHeader w:val="0"/>
        </w:trPr>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6D">
            <w:pPr>
              <w:ind w:left="567" w:hanging="437"/>
              <w:rPr>
                <w:rFonts w:ascii="Lato" w:cs="Lato" w:eastAsia="Lato" w:hAnsi="Lato"/>
                <w:color w:val="004481"/>
                <w:sz w:val="20"/>
                <w:szCs w:val="20"/>
              </w:rPr>
            </w:pPr>
            <w:r w:rsidDel="00000000" w:rsidR="00000000" w:rsidRPr="00000000">
              <w:rPr>
                <w:rtl w:val="0"/>
              </w:rPr>
            </w:r>
          </w:p>
        </w:tc>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6E">
            <w:pPr>
              <w:ind w:left="567" w:hanging="567"/>
              <w:jc w:val="center"/>
              <w:rPr>
                <w:rFonts w:ascii="Lato" w:cs="Lato" w:eastAsia="Lato" w:hAnsi="Lato"/>
                <w:color w:val="004481"/>
                <w:sz w:val="20"/>
                <w:szCs w:val="20"/>
              </w:rPr>
            </w:pPr>
            <w:r w:rsidDel="00000000" w:rsidR="00000000" w:rsidRPr="00000000">
              <w:rPr>
                <w:rtl w:val="0"/>
              </w:rPr>
            </w:r>
          </w:p>
        </w:tc>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6F">
            <w:pPr>
              <w:ind w:left="567" w:hanging="567"/>
              <w:jc w:val="center"/>
              <w:rPr>
                <w:rFonts w:ascii="Lato" w:cs="Lato" w:eastAsia="Lato" w:hAnsi="Lato"/>
                <w:color w:val="004481"/>
                <w:sz w:val="20"/>
                <w:szCs w:val="20"/>
              </w:rPr>
            </w:pPr>
            <w:r w:rsidDel="00000000" w:rsidR="00000000" w:rsidRPr="00000000">
              <w:rPr>
                <w:rtl w:val="0"/>
              </w:rPr>
            </w:r>
          </w:p>
        </w:tc>
      </w:tr>
      <w:tr>
        <w:trPr>
          <w:cantSplit w:val="0"/>
          <w:trHeight w:val="288" w:hRule="atLeast"/>
          <w:tblHeader w:val="0"/>
        </w:trPr>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70">
            <w:pPr>
              <w:pBdr>
                <w:top w:space="0" w:sz="0" w:val="nil"/>
                <w:left w:space="0" w:sz="0" w:val="nil"/>
                <w:bottom w:space="0" w:sz="0" w:val="nil"/>
                <w:right w:space="0" w:sz="0" w:val="nil"/>
                <w:between w:space="0" w:sz="0" w:val="nil"/>
              </w:pBdr>
              <w:spacing w:line="212" w:lineRule="auto"/>
              <w:ind w:left="567" w:hanging="437"/>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Instrumentos con riesgo Estado Peruano</w:t>
            </w:r>
          </w:p>
        </w:tc>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71">
            <w:pPr>
              <w:ind w:left="567" w:hanging="567"/>
              <w:jc w:val="center"/>
              <w:rPr>
                <w:rFonts w:ascii="Lato" w:cs="Lato" w:eastAsia="Lato" w:hAnsi="Lato"/>
                <w:color w:val="004481"/>
                <w:sz w:val="20"/>
                <w:szCs w:val="20"/>
              </w:rPr>
            </w:pPr>
            <w:r w:rsidDel="00000000" w:rsidR="00000000" w:rsidRPr="00000000">
              <w:rPr>
                <w:rtl w:val="0"/>
              </w:rPr>
            </w:r>
          </w:p>
        </w:tc>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72">
            <w:pPr>
              <w:ind w:left="567" w:hanging="567"/>
              <w:jc w:val="center"/>
              <w:rPr>
                <w:rFonts w:ascii="Lato" w:cs="Lato" w:eastAsia="Lato" w:hAnsi="Lato"/>
                <w:color w:val="004481"/>
                <w:sz w:val="20"/>
                <w:szCs w:val="20"/>
              </w:rPr>
            </w:pPr>
            <w:r w:rsidDel="00000000" w:rsidR="00000000" w:rsidRPr="00000000">
              <w:rPr>
                <w:rtl w:val="0"/>
              </w:rPr>
            </w:r>
          </w:p>
        </w:tc>
      </w:tr>
      <w:tr>
        <w:trPr>
          <w:cantSplit w:val="0"/>
          <w:trHeight w:val="288" w:hRule="atLeast"/>
          <w:tblHeader w:val="0"/>
        </w:trPr>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73">
            <w:pPr>
              <w:pBdr>
                <w:top w:space="0" w:sz="0" w:val="nil"/>
                <w:left w:space="0" w:sz="0" w:val="nil"/>
                <w:bottom w:space="0" w:sz="0" w:val="nil"/>
                <w:right w:space="0" w:sz="0" w:val="nil"/>
                <w:between w:space="0" w:sz="0" w:val="nil"/>
              </w:pBdr>
              <w:spacing w:line="212" w:lineRule="auto"/>
              <w:ind w:left="567" w:hanging="437"/>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Instrumentos del Banco Central de Reserva del Perú</w:t>
            </w:r>
          </w:p>
        </w:tc>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74">
            <w:pPr>
              <w:pBdr>
                <w:top w:space="0" w:sz="0" w:val="nil"/>
                <w:left w:space="0" w:sz="0" w:val="nil"/>
                <w:bottom w:space="0" w:sz="0" w:val="nil"/>
                <w:right w:space="0" w:sz="0" w:val="nil"/>
                <w:between w:space="0" w:sz="0" w:val="nil"/>
              </w:pBdr>
              <w:spacing w:line="212" w:lineRule="auto"/>
              <w:jc w:val="center"/>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0%</w:t>
            </w:r>
          </w:p>
        </w:tc>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75">
            <w:pPr>
              <w:pBdr>
                <w:top w:space="0" w:sz="0" w:val="nil"/>
                <w:left w:space="0" w:sz="0" w:val="nil"/>
                <w:bottom w:space="0" w:sz="0" w:val="nil"/>
                <w:right w:space="0" w:sz="0" w:val="nil"/>
                <w:between w:space="0" w:sz="0" w:val="nil"/>
              </w:pBdr>
              <w:spacing w:line="212" w:lineRule="auto"/>
              <w:jc w:val="center"/>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100%</w:t>
            </w:r>
          </w:p>
        </w:tc>
      </w:tr>
      <w:tr>
        <w:trPr>
          <w:cantSplit w:val="0"/>
          <w:trHeight w:val="289" w:hRule="atLeast"/>
          <w:tblHeader w:val="0"/>
        </w:trPr>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76">
            <w:pPr>
              <w:pBdr>
                <w:top w:space="0" w:sz="0" w:val="nil"/>
                <w:left w:space="0" w:sz="0" w:val="nil"/>
                <w:bottom w:space="0" w:sz="0" w:val="nil"/>
                <w:right w:space="0" w:sz="0" w:val="nil"/>
                <w:between w:space="0" w:sz="0" w:val="nil"/>
              </w:pBdr>
              <w:spacing w:line="212" w:lineRule="auto"/>
              <w:ind w:left="567" w:hanging="437"/>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Instrumentos emitidos por el Gobierno Central</w:t>
            </w:r>
          </w:p>
        </w:tc>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77">
            <w:pPr>
              <w:pBdr>
                <w:top w:space="0" w:sz="0" w:val="nil"/>
                <w:left w:space="0" w:sz="0" w:val="nil"/>
                <w:bottom w:space="0" w:sz="0" w:val="nil"/>
                <w:right w:space="0" w:sz="0" w:val="nil"/>
                <w:between w:space="0" w:sz="0" w:val="nil"/>
              </w:pBdr>
              <w:spacing w:line="212" w:lineRule="auto"/>
              <w:jc w:val="center"/>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0%</w:t>
            </w:r>
          </w:p>
        </w:tc>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78">
            <w:pPr>
              <w:pBdr>
                <w:top w:space="0" w:sz="0" w:val="nil"/>
                <w:left w:space="0" w:sz="0" w:val="nil"/>
                <w:bottom w:space="0" w:sz="0" w:val="nil"/>
                <w:right w:space="0" w:sz="0" w:val="nil"/>
                <w:between w:space="0" w:sz="0" w:val="nil"/>
              </w:pBdr>
              <w:spacing w:line="212" w:lineRule="auto"/>
              <w:jc w:val="center"/>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100%</w:t>
            </w:r>
          </w:p>
        </w:tc>
      </w:tr>
      <w:tr>
        <w:trPr>
          <w:cantSplit w:val="0"/>
          <w:trHeight w:val="290" w:hRule="atLeast"/>
          <w:tblHeader w:val="0"/>
        </w:trPr>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79">
            <w:pPr>
              <w:ind w:left="567" w:hanging="437"/>
              <w:rPr>
                <w:rFonts w:ascii="Lato" w:cs="Lato" w:eastAsia="Lato" w:hAnsi="Lato"/>
                <w:color w:val="004481"/>
                <w:sz w:val="20"/>
                <w:szCs w:val="20"/>
              </w:rPr>
            </w:pPr>
            <w:r w:rsidDel="00000000" w:rsidR="00000000" w:rsidRPr="00000000">
              <w:rPr>
                <w:rtl w:val="0"/>
              </w:rPr>
            </w:r>
          </w:p>
        </w:tc>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7A">
            <w:pPr>
              <w:jc w:val="center"/>
              <w:rPr>
                <w:rFonts w:ascii="Lato" w:cs="Lato" w:eastAsia="Lato" w:hAnsi="Lato"/>
                <w:color w:val="004481"/>
                <w:sz w:val="20"/>
                <w:szCs w:val="20"/>
              </w:rPr>
            </w:pPr>
            <w:r w:rsidDel="00000000" w:rsidR="00000000" w:rsidRPr="00000000">
              <w:rPr>
                <w:rtl w:val="0"/>
              </w:rPr>
            </w:r>
          </w:p>
        </w:tc>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7B">
            <w:pPr>
              <w:jc w:val="center"/>
              <w:rPr>
                <w:rFonts w:ascii="Lato" w:cs="Lato" w:eastAsia="Lato" w:hAnsi="Lato"/>
                <w:color w:val="004481"/>
                <w:sz w:val="20"/>
                <w:szCs w:val="20"/>
              </w:rPr>
            </w:pPr>
            <w:r w:rsidDel="00000000" w:rsidR="00000000" w:rsidRPr="00000000">
              <w:rPr>
                <w:rtl w:val="0"/>
              </w:rPr>
            </w:r>
          </w:p>
        </w:tc>
      </w:tr>
      <w:tr>
        <w:trPr>
          <w:cantSplit w:val="0"/>
          <w:trHeight w:val="292" w:hRule="atLeast"/>
          <w:tblHeader w:val="0"/>
        </w:trPr>
        <w:tc>
          <w:tcPr>
            <w:tcBorders>
              <w:top w:color="02a5a5" w:space="0" w:sz="4" w:val="single"/>
              <w:left w:color="02a5a5" w:space="0" w:sz="4" w:val="single"/>
              <w:bottom w:color="02a5a5" w:space="0" w:sz="4" w:val="single"/>
              <w:right w:color="02a5a5" w:space="0" w:sz="4" w:val="single"/>
            </w:tcBorders>
            <w:shd w:fill="2dcccd" w:val="clear"/>
            <w:vAlign w:val="center"/>
          </w:tcPr>
          <w:p w:rsidR="00000000" w:rsidDel="00000000" w:rsidP="00000000" w:rsidRDefault="00000000" w:rsidRPr="00000000" w14:paraId="0000007C">
            <w:pPr>
              <w:pBdr>
                <w:top w:space="0" w:sz="0" w:val="nil"/>
                <w:left w:space="0" w:sz="0" w:val="nil"/>
                <w:bottom w:space="0" w:sz="0" w:val="nil"/>
                <w:right w:space="0" w:sz="0" w:val="nil"/>
                <w:between w:space="0" w:sz="0" w:val="nil"/>
              </w:pBdr>
              <w:spacing w:line="214" w:lineRule="auto"/>
              <w:ind w:left="567" w:hanging="437"/>
              <w:rPr>
                <w:rFonts w:ascii="Lato" w:cs="Lato" w:eastAsia="Lato" w:hAnsi="Lato"/>
                <w:color w:val="ffffff"/>
                <w:sz w:val="20"/>
                <w:szCs w:val="20"/>
              </w:rPr>
            </w:pPr>
            <w:r w:rsidDel="00000000" w:rsidR="00000000" w:rsidRPr="00000000">
              <w:rPr>
                <w:rFonts w:ascii="Lato" w:cs="Lato" w:eastAsia="Lato" w:hAnsi="Lato"/>
                <w:color w:val="ffffff"/>
                <w:sz w:val="20"/>
                <w:szCs w:val="20"/>
                <w:rtl w:val="0"/>
              </w:rPr>
              <w:t xml:space="preserve">INSTRUMENTOS DERIVADOS </w:t>
            </w:r>
            <w:r w:rsidDel="00000000" w:rsidR="00000000" w:rsidRPr="00000000">
              <w:rPr>
                <w:rFonts w:ascii="Lato" w:cs="Lato" w:eastAsia="Lato" w:hAnsi="Lato"/>
                <w:color w:val="ffffff"/>
                <w:sz w:val="20"/>
                <w:szCs w:val="20"/>
                <w:vertAlign w:val="superscript"/>
                <w:rtl w:val="0"/>
              </w:rPr>
              <w:t xml:space="preserve">(1)</w:t>
            </w:r>
            <w:r w:rsidDel="00000000" w:rsidR="00000000" w:rsidRPr="00000000">
              <w:rPr>
                <w:rtl w:val="0"/>
              </w:rPr>
            </w:r>
          </w:p>
        </w:tc>
        <w:tc>
          <w:tcPr>
            <w:tcBorders>
              <w:top w:color="02a5a5" w:space="0" w:sz="4" w:val="single"/>
              <w:left w:color="02a5a5" w:space="0" w:sz="4" w:val="single"/>
              <w:bottom w:color="02a5a5" w:space="0" w:sz="4" w:val="single"/>
              <w:right w:color="02a5a5" w:space="0" w:sz="4" w:val="single"/>
            </w:tcBorders>
            <w:shd w:fill="2dcccd" w:val="clear"/>
            <w:vAlign w:val="center"/>
          </w:tcPr>
          <w:p w:rsidR="00000000" w:rsidDel="00000000" w:rsidP="00000000" w:rsidRDefault="00000000" w:rsidRPr="00000000" w14:paraId="0000007D">
            <w:pPr>
              <w:jc w:val="center"/>
              <w:rPr>
                <w:rFonts w:ascii="Lato" w:cs="Lato" w:eastAsia="Lato" w:hAnsi="Lato"/>
                <w:color w:val="ffffff"/>
                <w:sz w:val="20"/>
                <w:szCs w:val="20"/>
              </w:rPr>
            </w:pPr>
            <w:r w:rsidDel="00000000" w:rsidR="00000000" w:rsidRPr="00000000">
              <w:rPr>
                <w:rtl w:val="0"/>
              </w:rPr>
            </w:r>
          </w:p>
        </w:tc>
        <w:tc>
          <w:tcPr>
            <w:tcBorders>
              <w:top w:color="02a5a5" w:space="0" w:sz="4" w:val="single"/>
              <w:left w:color="02a5a5" w:space="0" w:sz="4" w:val="single"/>
              <w:bottom w:color="02a5a5" w:space="0" w:sz="4" w:val="single"/>
              <w:right w:color="02a5a5" w:space="0" w:sz="4" w:val="single"/>
            </w:tcBorders>
            <w:shd w:fill="2dcccd" w:val="clear"/>
            <w:vAlign w:val="center"/>
          </w:tcPr>
          <w:p w:rsidR="00000000" w:rsidDel="00000000" w:rsidP="00000000" w:rsidRDefault="00000000" w:rsidRPr="00000000" w14:paraId="0000007E">
            <w:pPr>
              <w:jc w:val="center"/>
              <w:rPr>
                <w:rFonts w:ascii="Lato" w:cs="Lato" w:eastAsia="Lato" w:hAnsi="Lato"/>
                <w:color w:val="ffffff"/>
                <w:sz w:val="20"/>
                <w:szCs w:val="20"/>
              </w:rPr>
            </w:pPr>
            <w:r w:rsidDel="00000000" w:rsidR="00000000" w:rsidRPr="00000000">
              <w:rPr>
                <w:rtl w:val="0"/>
              </w:rPr>
            </w:r>
          </w:p>
        </w:tc>
      </w:tr>
      <w:tr>
        <w:trPr>
          <w:cantSplit w:val="0"/>
          <w:trHeight w:val="281" w:hRule="atLeast"/>
          <w:tblHeader w:val="0"/>
        </w:trPr>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7F">
            <w:pPr>
              <w:pBdr>
                <w:top w:space="0" w:sz="0" w:val="nil"/>
                <w:left w:space="0" w:sz="0" w:val="nil"/>
                <w:bottom w:space="0" w:sz="0" w:val="nil"/>
                <w:right w:space="0" w:sz="0" w:val="nil"/>
                <w:between w:space="0" w:sz="0" w:val="nil"/>
              </w:pBdr>
              <w:spacing w:line="217" w:lineRule="auto"/>
              <w:ind w:left="567" w:hanging="437"/>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Forward a la moneda del valor cuota</w:t>
            </w:r>
          </w:p>
        </w:tc>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line="217" w:lineRule="auto"/>
              <w:jc w:val="center"/>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0%</w:t>
            </w:r>
          </w:p>
        </w:tc>
        <w:tc>
          <w:tcPr>
            <w:tcBorders>
              <w:top w:color="02a5a5" w:space="0" w:sz="4" w:val="single"/>
              <w:left w:color="02a5a5" w:space="0" w:sz="4" w:val="single"/>
              <w:bottom w:color="02a5a5" w:space="0" w:sz="4" w:val="single"/>
              <w:right w:color="02a5a5" w:space="0" w:sz="4" w:val="single"/>
            </w:tcBorders>
            <w:vAlign w:val="center"/>
          </w:tcPr>
          <w:p w:rsidR="00000000" w:rsidDel="00000000" w:rsidP="00000000" w:rsidRDefault="00000000" w:rsidRPr="00000000" w14:paraId="00000081">
            <w:pPr>
              <w:pBdr>
                <w:top w:space="0" w:sz="0" w:val="nil"/>
                <w:left w:space="0" w:sz="0" w:val="nil"/>
                <w:bottom w:space="0" w:sz="0" w:val="nil"/>
                <w:right w:space="0" w:sz="0" w:val="nil"/>
                <w:between w:space="0" w:sz="0" w:val="nil"/>
              </w:pBdr>
              <w:spacing w:line="217" w:lineRule="auto"/>
              <w:jc w:val="center"/>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100%</w:t>
            </w:r>
          </w:p>
        </w:tc>
      </w:tr>
    </w:tbl>
    <w:p w:rsidR="00000000" w:rsidDel="00000000" w:rsidP="00000000" w:rsidRDefault="00000000" w:rsidRPr="00000000" w14:paraId="00000082">
      <w:pPr>
        <w:numPr>
          <w:ilvl w:val="0"/>
          <w:numId w:val="1"/>
        </w:numPr>
        <w:pBdr>
          <w:top w:space="0" w:sz="0" w:val="nil"/>
          <w:left w:space="0" w:sz="0" w:val="nil"/>
          <w:bottom w:space="0" w:sz="0" w:val="nil"/>
          <w:right w:space="0" w:sz="0" w:val="nil"/>
          <w:between w:space="0" w:sz="0" w:val="nil"/>
        </w:pBdr>
        <w:spacing w:line="276" w:lineRule="auto"/>
        <w:ind w:left="284" w:right="724" w:hanging="284"/>
        <w:jc w:val="both"/>
        <w:rPr>
          <w:rFonts w:ascii="Lato" w:cs="Lato" w:eastAsia="Lato" w:hAnsi="Lato"/>
          <w:color w:val="004481"/>
          <w:sz w:val="18"/>
          <w:szCs w:val="18"/>
        </w:rPr>
      </w:pPr>
      <w:r w:rsidDel="00000000" w:rsidR="00000000" w:rsidRPr="00000000">
        <w:rPr>
          <w:rFonts w:ascii="Lato" w:cs="Lato" w:eastAsia="Lato" w:hAnsi="Lato"/>
          <w:color w:val="004481"/>
          <w:sz w:val="18"/>
          <w:szCs w:val="18"/>
          <w:rtl w:val="0"/>
        </w:rPr>
        <w:t xml:space="preserve">Los porcentajes de inversión en derivados se consideran respecto del activo subyacente, considerando para ello el monto total de los flujos coberturados con respecto al valor total de la cartera del FONDO. Adicionalmente, ante la liquidación anticipada de una posición, se podrá contratar forwards para mantener la cobertura cambiaria.</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line="276" w:lineRule="auto"/>
        <w:ind w:right="724"/>
        <w:jc w:val="both"/>
        <w:rPr>
          <w:rFonts w:ascii="Lato" w:cs="Lato" w:eastAsia="Lato" w:hAnsi="Lato"/>
          <w:color w:val="004481"/>
          <w:sz w:val="18"/>
          <w:szCs w:val="18"/>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line="276" w:lineRule="auto"/>
        <w:ind w:right="724"/>
        <w:jc w:val="both"/>
        <w:rPr>
          <w:rFonts w:ascii="Lato" w:cs="Lato" w:eastAsia="Lato" w:hAnsi="Lato"/>
          <w:color w:val="004481"/>
          <w:sz w:val="18"/>
          <w:szCs w:val="18"/>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line="276" w:lineRule="auto"/>
        <w:ind w:right="724"/>
        <w:jc w:val="both"/>
        <w:rPr>
          <w:rFonts w:ascii="Lato" w:cs="Lato" w:eastAsia="Lato" w:hAnsi="Lato"/>
          <w:color w:val="004481"/>
          <w:sz w:val="18"/>
          <w:szCs w:val="18"/>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line="276" w:lineRule="auto"/>
        <w:ind w:right="724"/>
        <w:jc w:val="both"/>
        <w:rPr>
          <w:rFonts w:ascii="Lato" w:cs="Lato" w:eastAsia="Lato" w:hAnsi="Lato"/>
          <w:color w:val="004481"/>
          <w:sz w:val="18"/>
          <w:szCs w:val="18"/>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line="276" w:lineRule="auto"/>
        <w:ind w:right="724"/>
        <w:jc w:val="both"/>
        <w:rPr>
          <w:rFonts w:ascii="Lato" w:cs="Lato" w:eastAsia="Lato" w:hAnsi="Lato"/>
          <w:color w:val="004481"/>
          <w:sz w:val="18"/>
          <w:szCs w:val="18"/>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line="276" w:lineRule="auto"/>
        <w:ind w:right="724"/>
        <w:jc w:val="both"/>
        <w:rPr>
          <w:rFonts w:ascii="Lato" w:cs="Lato" w:eastAsia="Lato" w:hAnsi="Lato"/>
          <w:color w:val="004481"/>
          <w:sz w:val="18"/>
          <w:szCs w:val="18"/>
        </w:rPr>
      </w:pPr>
      <w:r w:rsidDel="00000000" w:rsidR="00000000" w:rsidRPr="00000000">
        <w:rPr>
          <w:rtl w:val="0"/>
        </w:rPr>
      </w:r>
    </w:p>
    <w:p w:rsidR="00000000" w:rsidDel="00000000" w:rsidP="00000000" w:rsidRDefault="00000000" w:rsidRPr="00000000" w14:paraId="00000089">
      <w:pPr>
        <w:rPr>
          <w:rFonts w:ascii="Lato" w:cs="Lato" w:eastAsia="Lato" w:hAnsi="Lato"/>
          <w:color w:val="004481"/>
          <w:sz w:val="18"/>
          <w:szCs w:val="18"/>
        </w:rPr>
      </w:pPr>
      <w:r w:rsidDel="00000000" w:rsidR="00000000" w:rsidRPr="00000000">
        <w:rPr>
          <w:rtl w:val="0"/>
        </w:rPr>
      </w:r>
    </w:p>
    <w:p w:rsidR="00000000" w:rsidDel="00000000" w:rsidP="00000000" w:rsidRDefault="00000000" w:rsidRPr="00000000" w14:paraId="0000008A">
      <w:pPr>
        <w:rPr>
          <w:rFonts w:ascii="Lato" w:cs="Lato" w:eastAsia="Lato" w:hAnsi="Lato"/>
          <w:color w:val="004481"/>
          <w:sz w:val="18"/>
          <w:szCs w:val="18"/>
        </w:rPr>
      </w:pPr>
      <w:r w:rsidDel="00000000" w:rsidR="00000000" w:rsidRPr="00000000">
        <w:rPr>
          <w:rtl w:val="0"/>
        </w:rPr>
      </w:r>
    </w:p>
    <w:p w:rsidR="00000000" w:rsidDel="00000000" w:rsidP="00000000" w:rsidRDefault="00000000" w:rsidRPr="00000000" w14:paraId="0000008B">
      <w:pPr>
        <w:numPr>
          <w:ilvl w:val="1"/>
          <w:numId w:val="3"/>
        </w:numPr>
        <w:pBdr>
          <w:top w:space="0" w:sz="0" w:val="nil"/>
          <w:left w:space="0" w:sz="0" w:val="nil"/>
          <w:bottom w:space="0" w:sz="0" w:val="nil"/>
          <w:right w:space="0" w:sz="0" w:val="nil"/>
          <w:between w:space="0" w:sz="0" w:val="nil"/>
        </w:pBdr>
        <w:spacing w:after="120" w:line="200" w:lineRule="auto"/>
        <w:ind w:left="708.6614173228347" w:right="426" w:hanging="425.19685039370086"/>
        <w:jc w:val="both"/>
        <w:rPr>
          <w:rFonts w:ascii="Lato" w:cs="Lato" w:eastAsia="Lato" w:hAnsi="Lato"/>
          <w:color w:val="004481"/>
          <w:sz w:val="20"/>
          <w:szCs w:val="20"/>
        </w:rPr>
      </w:pPr>
      <w:r w:rsidDel="00000000" w:rsidR="00000000" w:rsidRPr="00000000">
        <w:rPr>
          <w:rFonts w:ascii="Lato" w:cs="Lato" w:eastAsia="Lato" w:hAnsi="Lato"/>
          <w:b w:val="1"/>
          <w:color w:val="004481"/>
          <w:sz w:val="20"/>
          <w:szCs w:val="20"/>
          <w:rtl w:val="0"/>
        </w:rPr>
        <w:t xml:space="preserve">Indicador de comparación de rendimientos</w:t>
      </w: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120" w:line="200" w:lineRule="auto"/>
        <w:ind w:left="100" w:right="426" w:firstLine="0"/>
        <w:jc w:val="both"/>
        <w:rPr>
          <w:rFonts w:ascii="Lato" w:cs="Lato" w:eastAsia="Lato" w:hAnsi="Lato"/>
          <w:color w:val="004481"/>
          <w:sz w:val="20"/>
          <w:szCs w:val="20"/>
        </w:rPr>
      </w:pPr>
      <w:r w:rsidDel="00000000" w:rsidR="00000000" w:rsidRPr="00000000">
        <w:rPr>
          <w:rtl w:val="0"/>
        </w:rPr>
      </w:r>
    </w:p>
    <w:p w:rsidR="00000000" w:rsidDel="00000000" w:rsidP="00000000" w:rsidRDefault="00000000" w:rsidRPr="00000000" w14:paraId="0000008D">
      <w:pPr>
        <w:widowControl w:val="1"/>
        <w:jc w:val="both"/>
        <w:rPr>
          <w:rFonts w:ascii="Lato" w:cs="Lato" w:eastAsia="Lato" w:hAnsi="Lato"/>
          <w:color w:val="004481"/>
          <w:sz w:val="20"/>
          <w:szCs w:val="20"/>
        </w:rPr>
      </w:pPr>
      <w:bookmarkStart w:colFirst="0" w:colLast="0" w:name="_heading=h.30j0zll" w:id="5"/>
      <w:bookmarkEnd w:id="5"/>
      <w:r w:rsidDel="00000000" w:rsidR="00000000" w:rsidRPr="00000000">
        <w:rPr>
          <w:rFonts w:ascii="Lato" w:cs="Lato" w:eastAsia="Lato" w:hAnsi="Lato"/>
          <w:color w:val="004481"/>
          <w:sz w:val="20"/>
          <w:szCs w:val="20"/>
          <w:rtl w:val="0"/>
        </w:rPr>
        <w:t xml:space="preserve">El indicador de comparación de rendimientos estará medido por el rendimiento del índice de depósitos a plazo en dólares a 360 días, calculado a partir del promedio de las tasas de interés ofrecidas por los cuatro principales bancos del sistema financiero nacional, más un spread de 100 puntos básicos. El cálculo del indicador es el siguiente:</w:t>
      </w:r>
      <w:r w:rsidDel="00000000" w:rsidR="00000000" w:rsidRPr="00000000">
        <w:rPr>
          <w:rFonts w:ascii="Lato" w:cs="Lato" w:eastAsia="Lato" w:hAnsi="Lato"/>
          <w:color w:val="004481"/>
          <w:rtl w:val="0"/>
        </w:rPr>
        <w:t xml:space="preserve">     </w:t>
      </w:r>
      <w:r w:rsidDel="00000000" w:rsidR="00000000" w:rsidRPr="00000000">
        <w:rPr>
          <w:rtl w:val="0"/>
        </w:rPr>
      </w:r>
    </w:p>
    <w:p w:rsidR="00000000" w:rsidDel="00000000" w:rsidP="00000000" w:rsidRDefault="00000000" w:rsidRPr="00000000" w14:paraId="0000008E">
      <w:pPr>
        <w:spacing w:before="7" w:lineRule="auto"/>
        <w:ind w:right="157"/>
        <w:jc w:val="both"/>
        <w:rPr>
          <w:rFonts w:ascii="Lato" w:cs="Lato" w:eastAsia="Lato" w:hAnsi="Lato"/>
          <w:color w:val="004481"/>
          <w:sz w:val="20"/>
          <w:szCs w:val="20"/>
        </w:rPr>
      </w:pPr>
      <w:r w:rsidDel="00000000" w:rsidR="00000000" w:rsidRPr="00000000">
        <w:rPr>
          <w:rtl w:val="0"/>
        </w:rPr>
      </w:r>
    </w:p>
    <w:p w:rsidR="00000000" w:rsidDel="00000000" w:rsidP="00000000" w:rsidRDefault="00000000" w:rsidRPr="00000000" w14:paraId="0000008F">
      <w:pPr>
        <w:spacing w:before="7" w:lineRule="auto"/>
        <w:ind w:right="157"/>
        <w:jc w:val="center"/>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(DEP360D + 1.00%)</w:t>
      </w:r>
    </w:p>
    <w:p w:rsidR="00000000" w:rsidDel="00000000" w:rsidP="00000000" w:rsidRDefault="00000000" w:rsidRPr="00000000" w14:paraId="00000090">
      <w:pPr>
        <w:spacing w:before="7" w:lineRule="auto"/>
        <w:ind w:right="157"/>
        <w:jc w:val="both"/>
        <w:rPr>
          <w:rFonts w:ascii="Lato" w:cs="Lato" w:eastAsia="Lato" w:hAnsi="Lato"/>
          <w:color w:val="004481"/>
          <w:sz w:val="20"/>
          <w:szCs w:val="20"/>
        </w:rPr>
      </w:pPr>
      <w:r w:rsidDel="00000000" w:rsidR="00000000" w:rsidRPr="00000000">
        <w:rPr>
          <w:rtl w:val="0"/>
        </w:rPr>
      </w:r>
    </w:p>
    <w:p w:rsidR="00000000" w:rsidDel="00000000" w:rsidP="00000000" w:rsidRDefault="00000000" w:rsidRPr="00000000" w14:paraId="00000091">
      <w:pPr>
        <w:spacing w:before="7" w:lineRule="auto"/>
        <w:ind w:right="157"/>
        <w:jc w:val="both"/>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DEP360D: Rendimiento del índice de depósitos a plazo a 360 días en dólares de los cuatro principales bancos del Perú.</w:t>
      </w:r>
    </w:p>
    <w:p w:rsidR="00000000" w:rsidDel="00000000" w:rsidP="00000000" w:rsidRDefault="00000000" w:rsidRPr="00000000" w14:paraId="00000092">
      <w:pPr>
        <w:spacing w:before="7" w:lineRule="auto"/>
        <w:ind w:right="157"/>
        <w:jc w:val="both"/>
        <w:rPr>
          <w:rFonts w:ascii="Lato" w:cs="Lato" w:eastAsia="Lato" w:hAnsi="Lato"/>
          <w:color w:val="004481"/>
          <w:sz w:val="20"/>
          <w:szCs w:val="20"/>
        </w:rPr>
      </w:pPr>
      <w:r w:rsidDel="00000000" w:rsidR="00000000" w:rsidRPr="00000000">
        <w:rPr>
          <w:rtl w:val="0"/>
        </w:rPr>
      </w:r>
    </w:p>
    <w:p w:rsidR="00000000" w:rsidDel="00000000" w:rsidP="00000000" w:rsidRDefault="00000000" w:rsidRPr="00000000" w14:paraId="00000093">
      <w:pPr>
        <w:spacing w:before="7" w:lineRule="auto"/>
        <w:ind w:right="157"/>
        <w:jc w:val="both"/>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Estos índices serán elaborados y suministrados por la empresa Proveedor Integral de Precios (PIP).</w:t>
      </w:r>
      <w:r w:rsidDel="00000000" w:rsidR="00000000" w:rsidRPr="00000000">
        <w:rPr>
          <w:rFonts w:ascii="Lato" w:cs="Lato" w:eastAsia="Lato" w:hAnsi="Lato"/>
          <w:color w:val="004481"/>
          <w:rtl w:val="0"/>
        </w:rPr>
        <w:t xml:space="preserve"> </w:t>
      </w:r>
      <w:r w:rsidDel="00000000" w:rsidR="00000000" w:rsidRPr="00000000">
        <w:rPr>
          <w:rFonts w:ascii="Lato" w:cs="Lato" w:eastAsia="Lato" w:hAnsi="Lato"/>
          <w:color w:val="004481"/>
          <w:sz w:val="20"/>
          <w:szCs w:val="20"/>
          <w:rtl w:val="0"/>
        </w:rPr>
        <w:t xml:space="preserve">En ese sentido, los rendimientos presentados en el estado de cuenta serán comparados con los rendimientos obtenidos por el mencionado índice durante los mismos periodos.</w:t>
      </w:r>
    </w:p>
    <w:p w:rsidR="00000000" w:rsidDel="00000000" w:rsidP="00000000" w:rsidRDefault="00000000" w:rsidRPr="00000000" w14:paraId="00000094">
      <w:pPr>
        <w:spacing w:before="7" w:lineRule="auto"/>
        <w:ind w:right="157"/>
        <w:jc w:val="both"/>
        <w:rPr>
          <w:rFonts w:ascii="Lato" w:cs="Lato" w:eastAsia="Lato" w:hAnsi="Lato"/>
          <w:color w:val="004481"/>
          <w:sz w:val="20"/>
          <w:szCs w:val="20"/>
        </w:rPr>
      </w:pPr>
      <w:r w:rsidDel="00000000" w:rsidR="00000000" w:rsidRPr="00000000">
        <w:rPr>
          <w:rtl w:val="0"/>
        </w:rPr>
      </w:r>
    </w:p>
    <w:p w:rsidR="00000000" w:rsidDel="00000000" w:rsidP="00000000" w:rsidRDefault="00000000" w:rsidRPr="00000000" w14:paraId="00000095">
      <w:pPr>
        <w:spacing w:before="7" w:lineRule="auto"/>
        <w:ind w:right="157"/>
        <w:jc w:val="both"/>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El riesgo y rendimiento de los instrumentos que forman parte de la cartera del FONDO, no necesariamente corresponden al riesgo y rendimiento del (de los) instrumento(s) representado(s) por el indicador de comparación de rendimientos (“Benchmark”).</w:t>
      </w:r>
    </w:p>
    <w:p w:rsidR="00000000" w:rsidDel="00000000" w:rsidP="00000000" w:rsidRDefault="00000000" w:rsidRPr="00000000" w14:paraId="00000096">
      <w:pPr>
        <w:spacing w:before="7" w:lineRule="auto"/>
        <w:ind w:right="157"/>
        <w:jc w:val="both"/>
        <w:rPr>
          <w:rFonts w:ascii="Lato" w:cs="Lato" w:eastAsia="Lato" w:hAnsi="Lato"/>
          <w:color w:val="004481"/>
          <w:sz w:val="20"/>
          <w:szCs w:val="20"/>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120" w:line="200" w:lineRule="auto"/>
        <w:ind w:left="100" w:right="157" w:firstLine="0"/>
        <w:jc w:val="both"/>
        <w:rPr>
          <w:rFonts w:ascii="Lato" w:cs="Lato" w:eastAsia="Lato" w:hAnsi="Lato"/>
          <w:color w:val="004481"/>
          <w:sz w:val="20"/>
          <w:szCs w:val="20"/>
        </w:rPr>
      </w:pPr>
      <w:r w:rsidDel="00000000" w:rsidR="00000000" w:rsidRPr="00000000">
        <w:rPr>
          <w:rtl w:val="0"/>
        </w:rPr>
      </w:r>
    </w:p>
    <w:p w:rsidR="00000000" w:rsidDel="00000000" w:rsidP="00000000" w:rsidRDefault="00000000" w:rsidRPr="00000000" w14:paraId="00000098">
      <w:pPr>
        <w:numPr>
          <w:ilvl w:val="0"/>
          <w:numId w:val="3"/>
        </w:numPr>
        <w:pBdr>
          <w:top w:space="0" w:sz="0" w:val="nil"/>
          <w:left w:space="0" w:sz="0" w:val="nil"/>
          <w:bottom w:space="0" w:sz="0" w:val="nil"/>
          <w:right w:space="0" w:sz="0" w:val="nil"/>
          <w:between w:space="0" w:sz="0" w:val="nil"/>
        </w:pBdr>
        <w:spacing w:after="120" w:before="7" w:line="200" w:lineRule="auto"/>
        <w:ind w:left="426" w:right="157" w:hanging="291"/>
        <w:jc w:val="both"/>
        <w:rPr>
          <w:rFonts w:ascii="Lato" w:cs="Lato" w:eastAsia="Lato" w:hAnsi="Lato"/>
          <w:b w:val="1"/>
          <w:color w:val="02a5a5"/>
          <w:sz w:val="20"/>
          <w:szCs w:val="20"/>
        </w:rPr>
      </w:pPr>
      <w:r w:rsidDel="00000000" w:rsidR="00000000" w:rsidRPr="00000000">
        <w:rPr>
          <w:rFonts w:ascii="Lato" w:cs="Lato" w:eastAsia="Lato" w:hAnsi="Lato"/>
          <w:b w:val="1"/>
          <w:color w:val="02a5a5"/>
          <w:sz w:val="20"/>
          <w:szCs w:val="20"/>
          <w:rtl w:val="0"/>
        </w:rPr>
        <w:t xml:space="preserve">COMISIONES Y OTROS GASTOS DEL FONDO</w:t>
      </w:r>
    </w:p>
    <w:p w:rsidR="00000000" w:rsidDel="00000000" w:rsidP="00000000" w:rsidRDefault="00000000" w:rsidRPr="00000000" w14:paraId="00000099">
      <w:pPr>
        <w:spacing w:line="160" w:lineRule="auto"/>
        <w:ind w:right="157"/>
        <w:rPr>
          <w:rFonts w:ascii="Lato" w:cs="Lato" w:eastAsia="Lato" w:hAnsi="Lato"/>
          <w:color w:val="004481"/>
          <w:sz w:val="20"/>
          <w:szCs w:val="20"/>
        </w:rPr>
      </w:pPr>
      <w:r w:rsidDel="00000000" w:rsidR="00000000" w:rsidRPr="00000000">
        <w:rPr>
          <w:rtl w:val="0"/>
        </w:rPr>
      </w:r>
    </w:p>
    <w:p w:rsidR="00000000" w:rsidDel="00000000" w:rsidP="00000000" w:rsidRDefault="00000000" w:rsidRPr="00000000" w14:paraId="0000009A">
      <w:pPr>
        <w:numPr>
          <w:ilvl w:val="0"/>
          <w:numId w:val="6"/>
        </w:numPr>
        <w:pBdr>
          <w:top w:space="0" w:sz="0" w:val="nil"/>
          <w:left w:space="0" w:sz="0" w:val="nil"/>
          <w:bottom w:space="0" w:sz="0" w:val="nil"/>
          <w:right w:space="0" w:sz="0" w:val="nil"/>
          <w:between w:space="0" w:sz="0" w:val="nil"/>
        </w:pBdr>
        <w:tabs>
          <w:tab w:val="left" w:leader="none" w:pos="567"/>
        </w:tabs>
        <w:ind w:left="426" w:right="157" w:hanging="426"/>
        <w:rPr>
          <w:rFonts w:ascii="Lato" w:cs="Lato" w:eastAsia="Lato" w:hAnsi="Lato"/>
          <w:sz w:val="20"/>
          <w:szCs w:val="20"/>
        </w:rPr>
      </w:pPr>
      <w:r w:rsidDel="00000000" w:rsidR="00000000" w:rsidRPr="00000000">
        <w:rPr>
          <w:rFonts w:ascii="Lato" w:cs="Lato" w:eastAsia="Lato" w:hAnsi="Lato"/>
          <w:color w:val="004481"/>
          <w:sz w:val="20"/>
          <w:szCs w:val="20"/>
          <w:rtl w:val="0"/>
        </w:rPr>
        <w:t xml:space="preserve">Gastos a cargo del Inversionista:</w:t>
      </w:r>
      <w:r w:rsidDel="00000000" w:rsidR="00000000" w:rsidRPr="00000000">
        <w:rPr>
          <w:rtl w:val="0"/>
        </w:rPr>
      </w:r>
    </w:p>
    <w:p w:rsidR="00000000" w:rsidDel="00000000" w:rsidP="00000000" w:rsidRDefault="00000000" w:rsidRPr="00000000" w14:paraId="0000009B">
      <w:pPr>
        <w:numPr>
          <w:ilvl w:val="0"/>
          <w:numId w:val="8"/>
        </w:numPr>
        <w:pBdr>
          <w:top w:space="0" w:sz="0" w:val="nil"/>
          <w:left w:space="0" w:sz="0" w:val="nil"/>
          <w:bottom w:space="0" w:sz="0" w:val="nil"/>
          <w:right w:space="0" w:sz="0" w:val="nil"/>
          <w:between w:space="0" w:sz="0" w:val="nil"/>
        </w:pBdr>
        <w:ind w:left="426" w:right="157" w:hanging="284"/>
        <w:jc w:val="both"/>
        <w:rPr>
          <w:rFonts w:ascii="Lato" w:cs="Lato" w:eastAsia="Lato" w:hAnsi="Lato"/>
          <w:color w:val="004481"/>
          <w:sz w:val="20"/>
          <w:szCs w:val="20"/>
        </w:rPr>
      </w:pPr>
      <w:r w:rsidDel="00000000" w:rsidR="00000000" w:rsidRPr="00000000">
        <w:rPr>
          <w:rFonts w:ascii="Lato" w:cs="Lato" w:eastAsia="Lato" w:hAnsi="Lato"/>
          <w:b w:val="1"/>
          <w:color w:val="004481"/>
          <w:sz w:val="20"/>
          <w:szCs w:val="20"/>
          <w:u w:val="single"/>
          <w:rtl w:val="0"/>
        </w:rPr>
        <w:t xml:space="preserve">Comisión de Suscripción</w:t>
      </w:r>
      <w:r w:rsidDel="00000000" w:rsidR="00000000" w:rsidRPr="00000000">
        <w:rPr>
          <w:rFonts w:ascii="Lato" w:cs="Lato" w:eastAsia="Lato" w:hAnsi="Lato"/>
          <w:b w:val="1"/>
          <w:color w:val="004481"/>
          <w:sz w:val="20"/>
          <w:szCs w:val="20"/>
          <w:rtl w:val="0"/>
        </w:rPr>
        <w:t xml:space="preserve">: </w:t>
      </w:r>
      <w:r w:rsidDel="00000000" w:rsidR="00000000" w:rsidRPr="00000000">
        <w:rPr>
          <w:rFonts w:ascii="Lato" w:cs="Lato" w:eastAsia="Lato" w:hAnsi="Lato"/>
          <w:color w:val="004481"/>
          <w:sz w:val="20"/>
          <w:szCs w:val="20"/>
          <w:rtl w:val="0"/>
        </w:rPr>
        <w:t xml:space="preserve">De 0% a 30.00% + IGV. La Administradora no cobrará a los partícipes la Comisión de Suscripción durante la etapa pre-operativa del fondo. A partir de la fecha de inicio de la etapa operativa, la Comisión de Suscripción será 30.00% + IGV, salvo la excepción contemplada en el numeral 4 literal c).</w:t>
      </w:r>
    </w:p>
    <w:p w:rsidR="00000000" w:rsidDel="00000000" w:rsidP="00000000" w:rsidRDefault="00000000" w:rsidRPr="00000000" w14:paraId="0000009C">
      <w:pPr>
        <w:numPr>
          <w:ilvl w:val="0"/>
          <w:numId w:val="8"/>
        </w:numPr>
        <w:pBdr>
          <w:top w:space="0" w:sz="0" w:val="nil"/>
          <w:left w:space="0" w:sz="0" w:val="nil"/>
          <w:bottom w:space="0" w:sz="0" w:val="nil"/>
          <w:right w:space="0" w:sz="0" w:val="nil"/>
          <w:between w:space="0" w:sz="0" w:val="nil"/>
        </w:pBdr>
        <w:spacing w:before="1" w:line="242" w:lineRule="auto"/>
        <w:ind w:left="426" w:right="157" w:hanging="360"/>
        <w:jc w:val="both"/>
        <w:rPr>
          <w:rFonts w:ascii="Lato" w:cs="Lato" w:eastAsia="Lato" w:hAnsi="Lato"/>
          <w:color w:val="004481"/>
          <w:sz w:val="20"/>
          <w:szCs w:val="20"/>
        </w:rPr>
      </w:pPr>
      <w:r w:rsidDel="00000000" w:rsidR="00000000" w:rsidRPr="00000000">
        <w:rPr>
          <w:rFonts w:ascii="Lato" w:cs="Lato" w:eastAsia="Lato" w:hAnsi="Lato"/>
          <w:b w:val="1"/>
          <w:color w:val="004481"/>
          <w:sz w:val="20"/>
          <w:szCs w:val="20"/>
          <w:u w:val="single"/>
          <w:rtl w:val="0"/>
        </w:rPr>
        <w:t xml:space="preserve">Comisión de Rescate</w:t>
      </w:r>
      <w:r w:rsidDel="00000000" w:rsidR="00000000" w:rsidRPr="00000000">
        <w:rPr>
          <w:rFonts w:ascii="Lato" w:cs="Lato" w:eastAsia="Lato" w:hAnsi="Lato"/>
          <w:b w:val="1"/>
          <w:color w:val="004481"/>
          <w:sz w:val="20"/>
          <w:szCs w:val="20"/>
          <w:rtl w:val="0"/>
        </w:rPr>
        <w:t xml:space="preserve">: </w:t>
      </w:r>
      <w:r w:rsidDel="00000000" w:rsidR="00000000" w:rsidRPr="00000000">
        <w:rPr>
          <w:rFonts w:ascii="Lato" w:cs="Lato" w:eastAsia="Lato" w:hAnsi="Lato"/>
          <w:color w:val="004481"/>
          <w:sz w:val="20"/>
          <w:szCs w:val="20"/>
          <w:rtl w:val="0"/>
        </w:rPr>
        <w:t xml:space="preserve">De 0 a 10.00% + IGV. La Administradora no cobrará a los partícipes la Comisión de Rescate durante la etapa pre-operativa del fondo. A partir de la fecha de inicio de la etapa operativa, la Comisión de Rescate será de 10.00% + IGV.  En el caso de fallecimiento de uno de los titulares de la cuenta y ante una solicitud de rescate, la sociedad administradora no cobrará la Comisión de Rescate a los titulares de la cuenta supervivientes ni a los herederos válidamente designados. </w:t>
      </w:r>
    </w:p>
    <w:p w:rsidR="00000000" w:rsidDel="00000000" w:rsidP="00000000" w:rsidRDefault="00000000" w:rsidRPr="00000000" w14:paraId="0000009D">
      <w:pPr>
        <w:numPr>
          <w:ilvl w:val="0"/>
          <w:numId w:val="8"/>
        </w:numPr>
        <w:pBdr>
          <w:top w:space="0" w:sz="0" w:val="nil"/>
          <w:left w:space="0" w:sz="0" w:val="nil"/>
          <w:bottom w:space="0" w:sz="0" w:val="nil"/>
          <w:right w:space="0" w:sz="0" w:val="nil"/>
          <w:between w:space="0" w:sz="0" w:val="nil"/>
        </w:pBdr>
        <w:spacing w:before="1" w:line="242" w:lineRule="auto"/>
        <w:ind w:left="426" w:right="157" w:hanging="360"/>
        <w:jc w:val="both"/>
        <w:rPr>
          <w:rFonts w:ascii="Lato" w:cs="Lato" w:eastAsia="Lato" w:hAnsi="Lato"/>
          <w:color w:val="004481"/>
          <w:sz w:val="20"/>
          <w:szCs w:val="20"/>
        </w:rPr>
      </w:pPr>
      <w:r w:rsidDel="00000000" w:rsidR="00000000" w:rsidRPr="00000000">
        <w:rPr>
          <w:rFonts w:ascii="Lato" w:cs="Lato" w:eastAsia="Lato" w:hAnsi="Lato"/>
          <w:b w:val="1"/>
          <w:color w:val="004481"/>
          <w:sz w:val="20"/>
          <w:szCs w:val="20"/>
          <w:u w:val="single"/>
          <w:rtl w:val="0"/>
        </w:rPr>
        <w:t xml:space="preserve">Comisión de emisión de certificados de participación</w:t>
      </w:r>
      <w:r w:rsidDel="00000000" w:rsidR="00000000" w:rsidRPr="00000000">
        <w:rPr>
          <w:rFonts w:ascii="Lato" w:cs="Lato" w:eastAsia="Lato" w:hAnsi="Lato"/>
          <w:b w:val="1"/>
          <w:color w:val="004481"/>
          <w:sz w:val="20"/>
          <w:szCs w:val="20"/>
          <w:rtl w:val="0"/>
        </w:rPr>
        <w:t xml:space="preserve">: </w:t>
      </w:r>
      <w:r w:rsidDel="00000000" w:rsidR="00000000" w:rsidRPr="00000000">
        <w:rPr>
          <w:rFonts w:ascii="Lato" w:cs="Lato" w:eastAsia="Lato" w:hAnsi="Lato"/>
          <w:color w:val="004481"/>
          <w:sz w:val="20"/>
          <w:szCs w:val="20"/>
          <w:rtl w:val="0"/>
        </w:rPr>
        <w:t xml:space="preserve">Se cobrará sólo si se pide la emisión del certificado, cuyo costo es de US $ 50.00 + IGV por cada título físico.</w:t>
      </w:r>
    </w:p>
    <w:p w:rsidR="00000000" w:rsidDel="00000000" w:rsidP="00000000" w:rsidRDefault="00000000" w:rsidRPr="00000000" w14:paraId="0000009E">
      <w:pPr>
        <w:numPr>
          <w:ilvl w:val="0"/>
          <w:numId w:val="8"/>
        </w:numPr>
        <w:pBdr>
          <w:top w:space="0" w:sz="0" w:val="nil"/>
          <w:left w:space="0" w:sz="0" w:val="nil"/>
          <w:bottom w:space="0" w:sz="0" w:val="nil"/>
          <w:right w:space="0" w:sz="0" w:val="nil"/>
          <w:between w:space="0" w:sz="0" w:val="nil"/>
        </w:pBdr>
        <w:tabs>
          <w:tab w:val="left" w:leader="none" w:pos="567"/>
        </w:tabs>
        <w:spacing w:before="3" w:lineRule="auto"/>
        <w:ind w:left="426" w:right="157" w:hanging="284"/>
        <w:jc w:val="both"/>
        <w:rPr>
          <w:rFonts w:ascii="Lato" w:cs="Lato" w:eastAsia="Lato" w:hAnsi="Lato"/>
          <w:color w:val="004481"/>
          <w:sz w:val="20"/>
          <w:szCs w:val="20"/>
        </w:rPr>
      </w:pPr>
      <w:r w:rsidDel="00000000" w:rsidR="00000000" w:rsidRPr="00000000">
        <w:rPr>
          <w:rFonts w:ascii="Lato" w:cs="Lato" w:eastAsia="Lato" w:hAnsi="Lato"/>
          <w:b w:val="1"/>
          <w:color w:val="004481"/>
          <w:sz w:val="20"/>
          <w:szCs w:val="20"/>
          <w:u w:val="single"/>
          <w:rtl w:val="0"/>
        </w:rPr>
        <w:t xml:space="preserve">Comisión de Transferencia</w:t>
      </w:r>
      <w:r w:rsidDel="00000000" w:rsidR="00000000" w:rsidRPr="00000000">
        <w:rPr>
          <w:rFonts w:ascii="Lato" w:cs="Lato" w:eastAsia="Lato" w:hAnsi="Lato"/>
          <w:b w:val="1"/>
          <w:color w:val="004481"/>
          <w:sz w:val="20"/>
          <w:szCs w:val="20"/>
          <w:rtl w:val="0"/>
        </w:rPr>
        <w:t xml:space="preserve">: </w:t>
      </w:r>
      <w:r w:rsidDel="00000000" w:rsidR="00000000" w:rsidRPr="00000000">
        <w:rPr>
          <w:rFonts w:ascii="Lato" w:cs="Lato" w:eastAsia="Lato" w:hAnsi="Lato"/>
          <w:color w:val="004481"/>
          <w:sz w:val="20"/>
          <w:szCs w:val="20"/>
          <w:rtl w:val="0"/>
        </w:rPr>
        <w:t xml:space="preserve">De 0% a 5.00% + IGV. En la actualidad no se cobra esta comisión.</w:t>
      </w:r>
    </w:p>
    <w:p w:rsidR="00000000" w:rsidDel="00000000" w:rsidP="00000000" w:rsidRDefault="00000000" w:rsidRPr="00000000" w14:paraId="0000009F">
      <w:pPr>
        <w:numPr>
          <w:ilvl w:val="0"/>
          <w:numId w:val="8"/>
        </w:numPr>
        <w:pBdr>
          <w:top w:space="0" w:sz="0" w:val="nil"/>
          <w:left w:space="0" w:sz="0" w:val="nil"/>
          <w:bottom w:space="0" w:sz="0" w:val="nil"/>
          <w:right w:space="0" w:sz="0" w:val="nil"/>
          <w:between w:space="0" w:sz="0" w:val="nil"/>
        </w:pBdr>
        <w:spacing w:before="2" w:line="245" w:lineRule="auto"/>
        <w:ind w:left="426" w:right="157" w:hanging="284"/>
        <w:jc w:val="both"/>
        <w:rPr>
          <w:rFonts w:ascii="Lato" w:cs="Lato" w:eastAsia="Lato" w:hAnsi="Lato"/>
          <w:color w:val="004481"/>
          <w:sz w:val="20"/>
          <w:szCs w:val="20"/>
        </w:rPr>
      </w:pPr>
      <w:r w:rsidDel="00000000" w:rsidR="00000000" w:rsidRPr="00000000">
        <w:rPr>
          <w:rFonts w:ascii="Lato" w:cs="Lato" w:eastAsia="Lato" w:hAnsi="Lato"/>
          <w:b w:val="1"/>
          <w:color w:val="004481"/>
          <w:sz w:val="20"/>
          <w:szCs w:val="20"/>
          <w:u w:val="single"/>
          <w:rtl w:val="0"/>
        </w:rPr>
        <w:t xml:space="preserve">Comisión de Traspaso</w:t>
      </w:r>
      <w:r w:rsidDel="00000000" w:rsidR="00000000" w:rsidRPr="00000000">
        <w:rPr>
          <w:rFonts w:ascii="Lato" w:cs="Lato" w:eastAsia="Lato" w:hAnsi="Lato"/>
          <w:b w:val="1"/>
          <w:color w:val="004481"/>
          <w:sz w:val="20"/>
          <w:szCs w:val="20"/>
          <w:rtl w:val="0"/>
        </w:rPr>
        <w:t xml:space="preserve">:</w:t>
      </w:r>
      <w:r w:rsidDel="00000000" w:rsidR="00000000" w:rsidRPr="00000000">
        <w:rPr>
          <w:rFonts w:ascii="Lato" w:cs="Lato" w:eastAsia="Lato" w:hAnsi="Lato"/>
          <w:color w:val="004481"/>
          <w:sz w:val="20"/>
          <w:szCs w:val="20"/>
          <w:rtl w:val="0"/>
        </w:rPr>
        <w:t xml:space="preserve"> De 0% a 10.00%. La Administradora no cobrará a los partícipes la Comisión de Traspaso durante la etapa pre-operativa del fondo. A partir de la fecha de inicio de la etapa operativa, la Comisión de Traspaso será 10.00% + IGV</w:t>
      </w:r>
      <w:r w:rsidDel="00000000" w:rsidR="00000000" w:rsidRPr="00000000">
        <w:rPr>
          <w:rFonts w:ascii="Lato" w:cs="Lato" w:eastAsia="Lato" w:hAnsi="Lato"/>
          <w:color w:val="004481"/>
          <w:rtl w:val="0"/>
        </w:rPr>
        <w:t xml:space="preserve">.</w:t>
      </w:r>
      <w:r w:rsidDel="00000000" w:rsidR="00000000" w:rsidRPr="00000000">
        <w:rPr>
          <w:rFonts w:ascii="Lato" w:cs="Lato" w:eastAsia="Lato" w:hAnsi="Lato"/>
          <w:color w:val="004481"/>
          <w:sz w:val="20"/>
          <w:szCs w:val="20"/>
          <w:rtl w:val="0"/>
        </w:rPr>
        <w:t xml:space="preserve"> En el caso que el partícipe esté afecto a la Comisión de Traspaso y a la Comisión de Rescate, la Administradora no cobrará la Comisión de Rescate. </w:t>
      </w:r>
    </w:p>
    <w:p w:rsidR="00000000" w:rsidDel="00000000" w:rsidP="00000000" w:rsidRDefault="00000000" w:rsidRPr="00000000" w14:paraId="000000A0">
      <w:pPr>
        <w:tabs>
          <w:tab w:val="left" w:leader="none" w:pos="567"/>
        </w:tabs>
        <w:spacing w:before="5" w:lineRule="auto"/>
        <w:ind w:left="426" w:right="157" w:hanging="284"/>
        <w:rPr>
          <w:rFonts w:ascii="Lato" w:cs="Lato" w:eastAsia="Lato" w:hAnsi="Lato"/>
          <w:color w:val="004481"/>
          <w:sz w:val="20"/>
          <w:szCs w:val="20"/>
        </w:rPr>
      </w:pPr>
      <w:r w:rsidDel="00000000" w:rsidR="00000000" w:rsidRPr="00000000">
        <w:rPr>
          <w:rtl w:val="0"/>
        </w:rPr>
      </w:r>
    </w:p>
    <w:p w:rsidR="00000000" w:rsidDel="00000000" w:rsidP="00000000" w:rsidRDefault="00000000" w:rsidRPr="00000000" w14:paraId="000000A1">
      <w:pPr>
        <w:numPr>
          <w:ilvl w:val="0"/>
          <w:numId w:val="6"/>
        </w:numPr>
        <w:pBdr>
          <w:top w:space="0" w:sz="0" w:val="nil"/>
          <w:left w:space="0" w:sz="0" w:val="nil"/>
          <w:bottom w:space="0" w:sz="0" w:val="nil"/>
          <w:right w:space="0" w:sz="0" w:val="nil"/>
          <w:between w:space="0" w:sz="0" w:val="nil"/>
        </w:pBdr>
        <w:tabs>
          <w:tab w:val="left" w:leader="none" w:pos="567"/>
        </w:tabs>
        <w:ind w:left="426" w:right="157" w:hanging="426"/>
        <w:rPr>
          <w:rFonts w:ascii="Lato" w:cs="Lato" w:eastAsia="Lato" w:hAnsi="Lato"/>
          <w:sz w:val="20"/>
          <w:szCs w:val="20"/>
        </w:rPr>
      </w:pPr>
      <w:r w:rsidDel="00000000" w:rsidR="00000000" w:rsidRPr="00000000">
        <w:rPr>
          <w:rFonts w:ascii="Lato" w:cs="Lato" w:eastAsia="Lato" w:hAnsi="Lato"/>
          <w:color w:val="004481"/>
          <w:sz w:val="20"/>
          <w:szCs w:val="20"/>
          <w:rtl w:val="0"/>
        </w:rPr>
        <w:t xml:space="preserve">Gastos a cargo del FONDO:</w:t>
      </w:r>
      <w:r w:rsidDel="00000000" w:rsidR="00000000" w:rsidRPr="00000000">
        <w:rPr>
          <w:rtl w:val="0"/>
        </w:rPr>
      </w:r>
    </w:p>
    <w:p w:rsidR="00000000" w:rsidDel="00000000" w:rsidP="00000000" w:rsidRDefault="00000000" w:rsidRPr="00000000" w14:paraId="000000A2">
      <w:pPr>
        <w:numPr>
          <w:ilvl w:val="0"/>
          <w:numId w:val="9"/>
        </w:numPr>
        <w:pBdr>
          <w:top w:space="0" w:sz="0" w:val="nil"/>
          <w:left w:space="0" w:sz="0" w:val="nil"/>
          <w:bottom w:space="0" w:sz="0" w:val="nil"/>
          <w:right w:space="0" w:sz="0" w:val="nil"/>
          <w:between w:space="0" w:sz="0" w:val="nil"/>
        </w:pBdr>
        <w:tabs>
          <w:tab w:val="left" w:leader="none" w:pos="451"/>
          <w:tab w:val="left" w:leader="none" w:pos="567"/>
        </w:tabs>
        <w:spacing w:before="3" w:line="244" w:lineRule="auto"/>
        <w:ind w:left="426" w:right="157" w:hanging="284"/>
        <w:jc w:val="both"/>
        <w:rPr>
          <w:rFonts w:ascii="Lato" w:cs="Lato" w:eastAsia="Lato" w:hAnsi="Lato"/>
          <w:color w:val="004481"/>
          <w:sz w:val="20"/>
          <w:szCs w:val="20"/>
        </w:rPr>
      </w:pPr>
      <w:r w:rsidDel="00000000" w:rsidR="00000000" w:rsidRPr="00000000">
        <w:rPr>
          <w:rFonts w:ascii="Lato" w:cs="Lato" w:eastAsia="Lato" w:hAnsi="Lato"/>
          <w:b w:val="1"/>
          <w:color w:val="004481"/>
          <w:sz w:val="20"/>
          <w:szCs w:val="20"/>
          <w:u w:val="single"/>
          <w:rtl w:val="0"/>
        </w:rPr>
        <w:t xml:space="preserve">Comisión Unificada del FONDO</w:t>
      </w:r>
      <w:r w:rsidDel="00000000" w:rsidR="00000000" w:rsidRPr="00000000">
        <w:rPr>
          <w:rFonts w:ascii="Lato" w:cs="Lato" w:eastAsia="Lato" w:hAnsi="Lato"/>
          <w:b w:val="1"/>
          <w:color w:val="004481"/>
          <w:sz w:val="20"/>
          <w:szCs w:val="20"/>
          <w:rtl w:val="0"/>
        </w:rPr>
        <w:t xml:space="preserve">:</w:t>
      </w:r>
      <w:r w:rsidDel="00000000" w:rsidR="00000000" w:rsidRPr="00000000">
        <w:rPr>
          <w:rFonts w:ascii="Lato" w:cs="Lato" w:eastAsia="Lato" w:hAnsi="Lato"/>
          <w:color w:val="004481"/>
          <w:sz w:val="20"/>
          <w:szCs w:val="20"/>
          <w:rtl w:val="0"/>
        </w:rPr>
        <w:t xml:space="preserve"> de 0% a 1.00% + IGV anual sobre el patrimonio neto de pre cierre administrado. La comisión se devenga diariamente y se cobra mensualmente. La comisión unificada vigente es 0.60% nominal anual (base 360) + IGV. </w:t>
      </w:r>
    </w:p>
    <w:p w:rsidR="00000000" w:rsidDel="00000000" w:rsidP="00000000" w:rsidRDefault="00000000" w:rsidRPr="00000000" w14:paraId="000000A3">
      <w:pPr>
        <w:numPr>
          <w:ilvl w:val="0"/>
          <w:numId w:val="9"/>
        </w:numPr>
        <w:pBdr>
          <w:top w:space="0" w:sz="0" w:val="nil"/>
          <w:left w:space="0" w:sz="0" w:val="nil"/>
          <w:bottom w:space="0" w:sz="0" w:val="nil"/>
          <w:right w:space="0" w:sz="0" w:val="nil"/>
          <w:between w:space="0" w:sz="0" w:val="nil"/>
        </w:pBdr>
        <w:tabs>
          <w:tab w:val="left" w:leader="none" w:pos="451"/>
          <w:tab w:val="left" w:leader="none" w:pos="567"/>
        </w:tabs>
        <w:spacing w:before="1" w:line="242" w:lineRule="auto"/>
        <w:ind w:left="426" w:right="157" w:hanging="284"/>
        <w:jc w:val="both"/>
        <w:rPr>
          <w:rFonts w:ascii="Lato" w:cs="Lato" w:eastAsia="Lato" w:hAnsi="Lato"/>
          <w:color w:val="004481"/>
          <w:sz w:val="20"/>
          <w:szCs w:val="20"/>
        </w:rPr>
      </w:pPr>
      <w:r w:rsidDel="00000000" w:rsidR="00000000" w:rsidRPr="00000000">
        <w:rPr>
          <w:rFonts w:ascii="Lato" w:cs="Lato" w:eastAsia="Lato" w:hAnsi="Lato"/>
          <w:b w:val="1"/>
          <w:color w:val="004481"/>
          <w:sz w:val="20"/>
          <w:szCs w:val="20"/>
          <w:u w:val="single"/>
          <w:rtl w:val="0"/>
        </w:rPr>
        <w:t xml:space="preserve">Comisiones propias de las operaciones de inversión</w:t>
      </w:r>
      <w:r w:rsidDel="00000000" w:rsidR="00000000" w:rsidRPr="00000000">
        <w:rPr>
          <w:rFonts w:ascii="Lato" w:cs="Lato" w:eastAsia="Lato" w:hAnsi="Lato"/>
          <w:b w:val="1"/>
          <w:color w:val="004481"/>
          <w:sz w:val="20"/>
          <w:szCs w:val="20"/>
          <w:rtl w:val="0"/>
        </w:rPr>
        <w:t xml:space="preserve">: </w:t>
      </w:r>
      <w:r w:rsidDel="00000000" w:rsidR="00000000" w:rsidRPr="00000000">
        <w:rPr>
          <w:rFonts w:ascii="Lato" w:cs="Lato" w:eastAsia="Lato" w:hAnsi="Lato"/>
          <w:color w:val="004481"/>
          <w:sz w:val="20"/>
          <w:szCs w:val="20"/>
          <w:rtl w:val="0"/>
        </w:rPr>
        <w:t xml:space="preserve">Hasta 5.00% del monto negociado (incluye comisión de intermediación por transacciones bursátiles o extrabursátiles, CAVALI y BVL, impuestos, mantenimientos de cuentas, transferencias interbancarias y otras de similar naturaleza).</w:t>
      </w:r>
    </w:p>
    <w:p w:rsidR="00000000" w:rsidDel="00000000" w:rsidP="00000000" w:rsidRDefault="00000000" w:rsidRPr="00000000" w14:paraId="000000A4">
      <w:pPr>
        <w:numPr>
          <w:ilvl w:val="0"/>
          <w:numId w:val="9"/>
        </w:numPr>
        <w:pBdr>
          <w:top w:space="0" w:sz="0" w:val="nil"/>
          <w:left w:space="0" w:sz="0" w:val="nil"/>
          <w:bottom w:space="0" w:sz="0" w:val="nil"/>
          <w:right w:space="0" w:sz="0" w:val="nil"/>
          <w:between w:space="0" w:sz="0" w:val="nil"/>
        </w:pBdr>
        <w:tabs>
          <w:tab w:val="left" w:leader="none" w:pos="451"/>
          <w:tab w:val="left" w:leader="none" w:pos="567"/>
        </w:tabs>
        <w:spacing w:before="1" w:line="242" w:lineRule="auto"/>
        <w:ind w:left="426" w:right="157" w:hanging="284"/>
        <w:jc w:val="both"/>
        <w:rPr>
          <w:rFonts w:ascii="Lato" w:cs="Lato" w:eastAsia="Lato" w:hAnsi="Lato"/>
          <w:color w:val="004481"/>
          <w:sz w:val="20"/>
          <w:szCs w:val="20"/>
        </w:rPr>
      </w:pPr>
      <w:r w:rsidDel="00000000" w:rsidR="00000000" w:rsidRPr="00000000">
        <w:rPr>
          <w:rFonts w:ascii="Lato" w:cs="Lato" w:eastAsia="Lato" w:hAnsi="Lato"/>
          <w:b w:val="1"/>
          <w:color w:val="004481"/>
          <w:sz w:val="20"/>
          <w:szCs w:val="20"/>
          <w:u w:val="single"/>
          <w:rtl w:val="0"/>
        </w:rPr>
        <w:t xml:space="preserve">Tributos cobrados por la SMV</w:t>
      </w:r>
      <w:r w:rsidDel="00000000" w:rsidR="00000000" w:rsidRPr="00000000">
        <w:rPr>
          <w:rFonts w:ascii="Lato" w:cs="Lato" w:eastAsia="Lato" w:hAnsi="Lato"/>
          <w:b w:val="1"/>
          <w:color w:val="004481"/>
          <w:sz w:val="20"/>
          <w:szCs w:val="20"/>
          <w:rtl w:val="0"/>
        </w:rPr>
        <w:t xml:space="preserve">:</w:t>
      </w:r>
      <w:r w:rsidDel="00000000" w:rsidR="00000000" w:rsidRPr="00000000">
        <w:rPr>
          <w:rFonts w:ascii="Lato" w:cs="Lato" w:eastAsia="Lato" w:hAnsi="Lato"/>
          <w:color w:val="004481"/>
          <w:sz w:val="20"/>
          <w:szCs w:val="20"/>
          <w:rtl w:val="0"/>
        </w:rPr>
        <w:t xml:space="preserve"> La tasa de contribución mensual que cobra la SMV asciende a 0.0021% mensual del patrimonio del fondo, lo que equivale a 0.0252% anual aproximadamente, el IGV no aplica sobre la misma. </w:t>
      </w:r>
    </w:p>
    <w:p w:rsidR="00000000" w:rsidDel="00000000" w:rsidP="00000000" w:rsidRDefault="00000000" w:rsidRPr="00000000" w14:paraId="000000A5">
      <w:pPr>
        <w:spacing w:line="200" w:lineRule="auto"/>
        <w:ind w:right="157"/>
        <w:rPr>
          <w:rFonts w:ascii="Lato" w:cs="Lato" w:eastAsia="Lato" w:hAnsi="Lato"/>
          <w:color w:val="004481"/>
          <w:sz w:val="20"/>
          <w:szCs w:val="20"/>
        </w:rPr>
      </w:pPr>
      <w:r w:rsidDel="00000000" w:rsidR="00000000" w:rsidRPr="00000000">
        <w:rPr>
          <w:rtl w:val="0"/>
        </w:rPr>
      </w:r>
    </w:p>
    <w:p w:rsidR="00000000" w:rsidDel="00000000" w:rsidP="00000000" w:rsidRDefault="00000000" w:rsidRPr="00000000" w14:paraId="000000A6">
      <w:pPr>
        <w:spacing w:line="200" w:lineRule="auto"/>
        <w:ind w:right="157"/>
        <w:rPr>
          <w:rFonts w:ascii="Lato" w:cs="Lato" w:eastAsia="Lato" w:hAnsi="Lato"/>
          <w:color w:val="00448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A7">
      <w:pPr>
        <w:spacing w:line="200" w:lineRule="auto"/>
        <w:ind w:right="157"/>
        <w:rPr>
          <w:rFonts w:ascii="Lato" w:cs="Lato" w:eastAsia="Lato" w:hAnsi="Lato"/>
          <w:color w:val="004481"/>
          <w:sz w:val="20"/>
          <w:szCs w:val="20"/>
        </w:rPr>
      </w:pPr>
      <w:r w:rsidDel="00000000" w:rsidR="00000000" w:rsidRPr="00000000">
        <w:rPr>
          <w:rtl w:val="0"/>
        </w:rPr>
      </w:r>
    </w:p>
    <w:p w:rsidR="00000000" w:rsidDel="00000000" w:rsidP="00000000" w:rsidRDefault="00000000" w:rsidRPr="00000000" w14:paraId="000000A8">
      <w:pPr>
        <w:spacing w:line="200" w:lineRule="auto"/>
        <w:ind w:right="157"/>
        <w:rPr>
          <w:rFonts w:ascii="Lato" w:cs="Lato" w:eastAsia="Lato" w:hAnsi="Lato"/>
          <w:color w:val="004481"/>
          <w:sz w:val="20"/>
          <w:szCs w:val="20"/>
        </w:rPr>
      </w:pPr>
      <w:r w:rsidDel="00000000" w:rsidR="00000000" w:rsidRPr="00000000">
        <w:rPr>
          <w:rtl w:val="0"/>
        </w:rPr>
      </w:r>
    </w:p>
    <w:p w:rsidR="00000000" w:rsidDel="00000000" w:rsidP="00000000" w:rsidRDefault="00000000" w:rsidRPr="00000000" w14:paraId="000000A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340"/>
        </w:tabs>
        <w:spacing w:after="0" w:before="0" w:line="240" w:lineRule="auto"/>
        <w:ind w:left="426" w:right="157" w:hanging="291"/>
        <w:jc w:val="left"/>
        <w:rPr>
          <w:rFonts w:ascii="Lato" w:cs="Lato" w:eastAsia="Lato" w:hAnsi="Lato"/>
          <w:b w:val="1"/>
          <w:i w:val="0"/>
          <w:smallCaps w:val="0"/>
          <w:strike w:val="0"/>
          <w:color w:val="02a5a5"/>
          <w:sz w:val="20"/>
          <w:szCs w:val="20"/>
          <w:shd w:fill="auto" w:val="clear"/>
          <w:vertAlign w:val="baseline"/>
        </w:rPr>
      </w:pPr>
      <w:r w:rsidDel="00000000" w:rsidR="00000000" w:rsidRPr="00000000">
        <w:rPr>
          <w:rFonts w:ascii="Lato" w:cs="Lato" w:eastAsia="Lato" w:hAnsi="Lato"/>
          <w:b w:val="1"/>
          <w:i w:val="0"/>
          <w:smallCaps w:val="0"/>
          <w:strike w:val="0"/>
          <w:color w:val="02a5a5"/>
          <w:sz w:val="20"/>
          <w:szCs w:val="20"/>
          <w:u w:val="none"/>
          <w:shd w:fill="auto" w:val="clear"/>
          <w:vertAlign w:val="baseline"/>
          <w:rtl w:val="0"/>
        </w:rPr>
        <w:t xml:space="preserve">OTROS ASPECTOS PARTICULARES DEL FONDO</w:t>
      </w:r>
      <w:r w:rsidDel="00000000" w:rsidR="00000000" w:rsidRPr="00000000">
        <w:rPr>
          <w:rtl w:val="0"/>
        </w:rPr>
      </w:r>
    </w:p>
    <w:p w:rsidR="00000000" w:rsidDel="00000000" w:rsidP="00000000" w:rsidRDefault="00000000" w:rsidRPr="00000000" w14:paraId="000000AA">
      <w:pPr>
        <w:spacing w:before="13" w:lineRule="auto"/>
        <w:ind w:right="157"/>
        <w:rPr>
          <w:rFonts w:ascii="Lato" w:cs="Lato" w:eastAsia="Lato" w:hAnsi="Lato"/>
          <w:color w:val="004481"/>
          <w:sz w:val="20"/>
          <w:szCs w:val="20"/>
        </w:rPr>
      </w:pPr>
      <w:r w:rsidDel="00000000" w:rsidR="00000000" w:rsidRPr="00000000">
        <w:rPr>
          <w:rtl w:val="0"/>
        </w:rPr>
      </w:r>
    </w:p>
    <w:p w:rsidR="00000000" w:rsidDel="00000000" w:rsidP="00000000" w:rsidRDefault="00000000" w:rsidRPr="00000000" w14:paraId="000000AB">
      <w:pPr>
        <w:numPr>
          <w:ilvl w:val="0"/>
          <w:numId w:val="2"/>
        </w:numPr>
        <w:pBdr>
          <w:top w:space="0" w:sz="0" w:val="nil"/>
          <w:left w:space="0" w:sz="0" w:val="nil"/>
          <w:bottom w:space="0" w:sz="0" w:val="nil"/>
          <w:right w:space="0" w:sz="0" w:val="nil"/>
          <w:between w:space="0" w:sz="0" w:val="nil"/>
        </w:pBdr>
        <w:tabs>
          <w:tab w:val="left" w:leader="none" w:pos="451"/>
        </w:tabs>
        <w:spacing w:line="248.00000000000006" w:lineRule="auto"/>
        <w:ind w:left="451" w:right="157" w:hanging="451"/>
        <w:jc w:val="both"/>
        <w:rPr>
          <w:rFonts w:ascii="Lato" w:cs="Lato" w:eastAsia="Lato" w:hAnsi="Lato"/>
          <w:sz w:val="20"/>
          <w:szCs w:val="20"/>
        </w:rPr>
      </w:pPr>
      <w:r w:rsidDel="00000000" w:rsidR="00000000" w:rsidRPr="00000000">
        <w:rPr>
          <w:rFonts w:ascii="Lato" w:cs="Lato" w:eastAsia="Lato" w:hAnsi="Lato"/>
          <w:color w:val="004481"/>
          <w:sz w:val="20"/>
          <w:szCs w:val="20"/>
          <w:rtl w:val="0"/>
        </w:rPr>
        <w:t xml:space="preserve">Modalidad de aporte permitida: Aportes dinerarios.</w:t>
      </w:r>
      <w:r w:rsidDel="00000000" w:rsidR="00000000" w:rsidRPr="00000000">
        <w:rPr>
          <w:rtl w:val="0"/>
        </w:rPr>
      </w:r>
    </w:p>
    <w:p w:rsidR="00000000" w:rsidDel="00000000" w:rsidP="00000000" w:rsidRDefault="00000000" w:rsidRPr="00000000" w14:paraId="000000AC">
      <w:pPr>
        <w:numPr>
          <w:ilvl w:val="0"/>
          <w:numId w:val="2"/>
        </w:numPr>
        <w:pBdr>
          <w:top w:space="0" w:sz="0" w:val="nil"/>
          <w:left w:space="0" w:sz="0" w:val="nil"/>
          <w:bottom w:space="0" w:sz="0" w:val="nil"/>
          <w:right w:space="0" w:sz="0" w:val="nil"/>
          <w:between w:space="0" w:sz="0" w:val="nil"/>
        </w:pBdr>
        <w:tabs>
          <w:tab w:val="left" w:leader="none" w:pos="451"/>
        </w:tabs>
        <w:spacing w:line="248.00000000000006" w:lineRule="auto"/>
        <w:ind w:left="451" w:right="157" w:hanging="451"/>
        <w:jc w:val="both"/>
        <w:rPr>
          <w:rFonts w:ascii="Lato" w:cs="Lato" w:eastAsia="Lato" w:hAnsi="Lato"/>
          <w:sz w:val="20"/>
          <w:szCs w:val="20"/>
        </w:rPr>
      </w:pPr>
      <w:r w:rsidDel="00000000" w:rsidR="00000000" w:rsidRPr="00000000">
        <w:rPr>
          <w:rFonts w:ascii="Lato" w:cs="Lato" w:eastAsia="Lato" w:hAnsi="Lato"/>
          <w:color w:val="004481"/>
          <w:sz w:val="20"/>
          <w:szCs w:val="20"/>
          <w:rtl w:val="0"/>
        </w:rPr>
        <w:t xml:space="preserve">Suscripción inicial: US$ 500.00 dólares americanos o su equivalente en cuotas.</w:t>
      </w:r>
      <w:r w:rsidDel="00000000" w:rsidR="00000000" w:rsidRPr="00000000">
        <w:rPr>
          <w:rtl w:val="0"/>
        </w:rPr>
      </w:r>
    </w:p>
    <w:p w:rsidR="00000000" w:rsidDel="00000000" w:rsidP="00000000" w:rsidRDefault="00000000" w:rsidRPr="00000000" w14:paraId="000000AD">
      <w:pPr>
        <w:numPr>
          <w:ilvl w:val="0"/>
          <w:numId w:val="2"/>
        </w:numPr>
        <w:pBdr>
          <w:top w:space="0" w:sz="0" w:val="nil"/>
          <w:left w:space="0" w:sz="0" w:val="nil"/>
          <w:bottom w:space="0" w:sz="0" w:val="nil"/>
          <w:right w:space="0" w:sz="0" w:val="nil"/>
          <w:between w:space="0" w:sz="0" w:val="nil"/>
        </w:pBdr>
        <w:spacing w:line="248.00000000000006" w:lineRule="auto"/>
        <w:ind w:left="451" w:right="157" w:hanging="451"/>
        <w:jc w:val="both"/>
        <w:rPr>
          <w:rFonts w:ascii="Lato" w:cs="Lato" w:eastAsia="Lato" w:hAnsi="Lato"/>
          <w:sz w:val="20"/>
          <w:szCs w:val="20"/>
        </w:rPr>
      </w:pPr>
      <w:r w:rsidDel="00000000" w:rsidR="00000000" w:rsidRPr="00000000">
        <w:rPr>
          <w:rFonts w:ascii="Lato" w:cs="Lato" w:eastAsia="Lato" w:hAnsi="Lato"/>
          <w:color w:val="004481"/>
          <w:sz w:val="20"/>
          <w:szCs w:val="20"/>
          <w:rtl w:val="0"/>
        </w:rPr>
        <w:t xml:space="preserve">Suscripciones posteriores: mínimo US$ 500.00 dólares americanos. Se exonerará la comisión de suscripción una vez iniciada la etapa operativa para aquellas cuotas qué pudieran estar disponibles para la venta (entendiéndose como cuotas disponibles para la venta a la diferencia  entre el número de cuotas en circulación el día previo de haber ingresado  la intención de suscripción y las cuotas existentes al inicio de la etapa operativa del fondo</w:t>
      </w:r>
      <w:r w:rsidDel="00000000" w:rsidR="00000000" w:rsidRPr="00000000">
        <w:rPr>
          <w:rFonts w:ascii="Lato" w:cs="Lato" w:eastAsia="Lato" w:hAnsi="Lato"/>
          <w:color w:val="004481"/>
          <w:sz w:val="20"/>
          <w:szCs w:val="20"/>
          <w:vertAlign w:val="superscript"/>
        </w:rPr>
        <w:footnoteReference w:customMarkFollows="0" w:id="0"/>
      </w:r>
      <w:r w:rsidDel="00000000" w:rsidR="00000000" w:rsidRPr="00000000">
        <w:rPr>
          <w:rFonts w:ascii="Lato" w:cs="Lato" w:eastAsia="Lato" w:hAnsi="Lato"/>
          <w:color w:val="004481"/>
          <w:sz w:val="20"/>
          <w:szCs w:val="20"/>
          <w:rtl w:val="0"/>
        </w:rPr>
        <w:t xml:space="preserve">). </w:t>
      </w:r>
      <w:r w:rsidDel="00000000" w:rsidR="00000000" w:rsidRPr="00000000">
        <w:rPr>
          <w:rtl w:val="0"/>
        </w:rPr>
      </w:r>
    </w:p>
    <w:p w:rsidR="00000000" w:rsidDel="00000000" w:rsidP="00000000" w:rsidRDefault="00000000" w:rsidRPr="00000000" w14:paraId="000000AE">
      <w:pPr>
        <w:numPr>
          <w:ilvl w:val="0"/>
          <w:numId w:val="2"/>
        </w:numPr>
        <w:pBdr>
          <w:top w:space="0" w:sz="0" w:val="nil"/>
          <w:left w:space="0" w:sz="0" w:val="nil"/>
          <w:bottom w:space="0" w:sz="0" w:val="nil"/>
          <w:right w:space="0" w:sz="0" w:val="nil"/>
          <w:between w:space="0" w:sz="0" w:val="nil"/>
        </w:pBdr>
        <w:tabs>
          <w:tab w:val="left" w:leader="none" w:pos="451"/>
        </w:tabs>
        <w:spacing w:before="5" w:lineRule="auto"/>
        <w:ind w:left="451" w:right="157" w:hanging="451"/>
        <w:jc w:val="both"/>
        <w:rPr>
          <w:rFonts w:ascii="Lato" w:cs="Lato" w:eastAsia="Lato" w:hAnsi="Lato"/>
          <w:sz w:val="20"/>
          <w:szCs w:val="20"/>
        </w:rPr>
      </w:pPr>
      <w:r w:rsidDel="00000000" w:rsidR="00000000" w:rsidRPr="00000000">
        <w:rPr>
          <w:rFonts w:ascii="Lato" w:cs="Lato" w:eastAsia="Lato" w:hAnsi="Lato"/>
          <w:color w:val="004481"/>
          <w:sz w:val="20"/>
          <w:szCs w:val="20"/>
          <w:rtl w:val="0"/>
        </w:rPr>
        <w:t xml:space="preserve">Valor Inicial de las cuotas: US$ 100.00 dólares americanos.</w:t>
      </w:r>
      <w:r w:rsidDel="00000000" w:rsidR="00000000" w:rsidRPr="00000000">
        <w:rPr>
          <w:rtl w:val="0"/>
        </w:rPr>
      </w:r>
    </w:p>
    <w:p w:rsidR="00000000" w:rsidDel="00000000" w:rsidP="00000000" w:rsidRDefault="00000000" w:rsidRPr="00000000" w14:paraId="000000AF">
      <w:pPr>
        <w:numPr>
          <w:ilvl w:val="0"/>
          <w:numId w:val="2"/>
        </w:numPr>
        <w:pBdr>
          <w:top w:space="0" w:sz="0" w:val="nil"/>
          <w:left w:space="0" w:sz="0" w:val="nil"/>
          <w:bottom w:space="0" w:sz="0" w:val="nil"/>
          <w:right w:space="0" w:sz="0" w:val="nil"/>
          <w:between w:space="0" w:sz="0" w:val="nil"/>
        </w:pBdr>
        <w:tabs>
          <w:tab w:val="left" w:leader="none" w:pos="451"/>
        </w:tabs>
        <w:spacing w:before="3" w:lineRule="auto"/>
        <w:ind w:left="451" w:right="157" w:hanging="451"/>
        <w:jc w:val="both"/>
        <w:rPr>
          <w:rFonts w:ascii="Lato" w:cs="Lato" w:eastAsia="Lato" w:hAnsi="Lato"/>
          <w:sz w:val="20"/>
          <w:szCs w:val="20"/>
        </w:rPr>
      </w:pPr>
      <w:r w:rsidDel="00000000" w:rsidR="00000000" w:rsidRPr="00000000">
        <w:rPr>
          <w:rFonts w:ascii="Lato" w:cs="Lato" w:eastAsia="Lato" w:hAnsi="Lato"/>
          <w:color w:val="004481"/>
          <w:sz w:val="20"/>
          <w:szCs w:val="20"/>
          <w:rtl w:val="0"/>
        </w:rPr>
        <w:t xml:space="preserve">Rescates mínimos: no hay monto mínimo.</w:t>
      </w:r>
      <w:r w:rsidDel="00000000" w:rsidR="00000000" w:rsidRPr="00000000">
        <w:rPr>
          <w:rtl w:val="0"/>
        </w:rPr>
      </w:r>
    </w:p>
    <w:p w:rsidR="00000000" w:rsidDel="00000000" w:rsidP="00000000" w:rsidRDefault="00000000" w:rsidRPr="00000000" w14:paraId="000000B0">
      <w:pPr>
        <w:numPr>
          <w:ilvl w:val="0"/>
          <w:numId w:val="2"/>
        </w:numPr>
        <w:pBdr>
          <w:top w:space="0" w:sz="0" w:val="nil"/>
          <w:left w:space="0" w:sz="0" w:val="nil"/>
          <w:bottom w:space="0" w:sz="0" w:val="nil"/>
          <w:right w:space="0" w:sz="0" w:val="nil"/>
          <w:between w:space="0" w:sz="0" w:val="nil"/>
        </w:pBdr>
        <w:tabs>
          <w:tab w:val="left" w:leader="none" w:pos="451"/>
        </w:tabs>
        <w:spacing w:before="3" w:lineRule="auto"/>
        <w:ind w:left="451" w:right="157" w:hanging="451"/>
        <w:jc w:val="both"/>
        <w:rPr>
          <w:rFonts w:ascii="Lato" w:cs="Lato" w:eastAsia="Lato" w:hAnsi="Lato"/>
          <w:sz w:val="20"/>
          <w:szCs w:val="20"/>
        </w:rPr>
      </w:pPr>
      <w:r w:rsidDel="00000000" w:rsidR="00000000" w:rsidRPr="00000000">
        <w:rPr>
          <w:rFonts w:ascii="Lato" w:cs="Lato" w:eastAsia="Lato" w:hAnsi="Lato"/>
          <w:color w:val="004481"/>
          <w:sz w:val="20"/>
          <w:szCs w:val="20"/>
          <w:rtl w:val="0"/>
        </w:rPr>
        <w:t xml:space="preserve">Monto mínimo de permanencia: No se podrán mantener inversiones que equivalgan a menos de una cuota de participación.</w:t>
      </w:r>
      <w:r w:rsidDel="00000000" w:rsidR="00000000" w:rsidRPr="00000000">
        <w:rPr>
          <w:rtl w:val="0"/>
        </w:rPr>
      </w:r>
    </w:p>
    <w:p w:rsidR="00000000" w:rsidDel="00000000" w:rsidP="00000000" w:rsidRDefault="00000000" w:rsidRPr="00000000" w14:paraId="000000B1">
      <w:pPr>
        <w:numPr>
          <w:ilvl w:val="0"/>
          <w:numId w:val="2"/>
        </w:numPr>
        <w:pBdr>
          <w:top w:space="0" w:sz="0" w:val="nil"/>
          <w:left w:space="0" w:sz="0" w:val="nil"/>
          <w:bottom w:space="0" w:sz="0" w:val="nil"/>
          <w:right w:space="0" w:sz="0" w:val="nil"/>
          <w:between w:space="0" w:sz="0" w:val="nil"/>
        </w:pBdr>
        <w:tabs>
          <w:tab w:val="left" w:leader="none" w:pos="451"/>
        </w:tabs>
        <w:spacing w:before="3" w:lineRule="auto"/>
        <w:ind w:left="451" w:right="157" w:hanging="451"/>
        <w:jc w:val="both"/>
        <w:rPr>
          <w:rFonts w:ascii="Lato" w:cs="Lato" w:eastAsia="Lato" w:hAnsi="Lato"/>
          <w:sz w:val="20"/>
          <w:szCs w:val="20"/>
        </w:rPr>
      </w:pPr>
      <w:r w:rsidDel="00000000" w:rsidR="00000000" w:rsidRPr="00000000">
        <w:rPr>
          <w:rFonts w:ascii="Lato" w:cs="Lato" w:eastAsia="Lato" w:hAnsi="Lato"/>
          <w:color w:val="004481"/>
          <w:sz w:val="20"/>
          <w:szCs w:val="20"/>
          <w:rtl w:val="0"/>
        </w:rPr>
        <w:t xml:space="preserve">Suscripciones programadas: no aplica.</w:t>
      </w:r>
      <w:r w:rsidDel="00000000" w:rsidR="00000000" w:rsidRPr="00000000">
        <w:rPr>
          <w:rtl w:val="0"/>
        </w:rPr>
      </w:r>
    </w:p>
    <w:p w:rsidR="00000000" w:rsidDel="00000000" w:rsidP="00000000" w:rsidRDefault="00000000" w:rsidRPr="00000000" w14:paraId="000000B2">
      <w:pPr>
        <w:numPr>
          <w:ilvl w:val="0"/>
          <w:numId w:val="2"/>
        </w:numPr>
        <w:pBdr>
          <w:top w:space="0" w:sz="0" w:val="nil"/>
          <w:left w:space="0" w:sz="0" w:val="nil"/>
          <w:bottom w:space="0" w:sz="0" w:val="nil"/>
          <w:right w:space="0" w:sz="0" w:val="nil"/>
          <w:between w:space="0" w:sz="0" w:val="nil"/>
        </w:pBdr>
        <w:tabs>
          <w:tab w:val="left" w:leader="none" w:pos="451"/>
        </w:tabs>
        <w:spacing w:before="5" w:line="245" w:lineRule="auto"/>
        <w:ind w:left="451" w:right="157" w:hanging="451"/>
        <w:jc w:val="both"/>
        <w:rPr>
          <w:rFonts w:ascii="Lato" w:cs="Lato" w:eastAsia="Lato" w:hAnsi="Lato"/>
          <w:sz w:val="20"/>
          <w:szCs w:val="20"/>
        </w:rPr>
      </w:pPr>
      <w:r w:rsidDel="00000000" w:rsidR="00000000" w:rsidRPr="00000000">
        <w:rPr>
          <w:rFonts w:ascii="Lato" w:cs="Lato" w:eastAsia="Lato" w:hAnsi="Lato"/>
          <w:color w:val="004481"/>
          <w:sz w:val="20"/>
          <w:szCs w:val="20"/>
          <w:rtl w:val="0"/>
        </w:rPr>
        <w:t xml:space="preserve">Rescates programados: No aplica; sin perjuicio de lo contemplado en el numeral 5 literal b) del presente Anexo del Reglamento.</w:t>
      </w:r>
      <w:r w:rsidDel="00000000" w:rsidR="00000000" w:rsidRPr="00000000">
        <w:rPr>
          <w:rtl w:val="0"/>
        </w:rPr>
      </w:r>
    </w:p>
    <w:p w:rsidR="00000000" w:rsidDel="00000000" w:rsidP="00000000" w:rsidRDefault="00000000" w:rsidRPr="00000000" w14:paraId="000000B3">
      <w:pPr>
        <w:numPr>
          <w:ilvl w:val="0"/>
          <w:numId w:val="2"/>
        </w:numPr>
        <w:pBdr>
          <w:top w:space="0" w:sz="0" w:val="nil"/>
          <w:left w:space="0" w:sz="0" w:val="nil"/>
          <w:bottom w:space="0" w:sz="0" w:val="nil"/>
          <w:right w:space="0" w:sz="0" w:val="nil"/>
          <w:between w:space="0" w:sz="0" w:val="nil"/>
        </w:pBdr>
        <w:tabs>
          <w:tab w:val="left" w:leader="none" w:pos="451"/>
        </w:tabs>
        <w:spacing w:line="239" w:lineRule="auto"/>
        <w:ind w:left="451" w:right="157" w:hanging="451"/>
        <w:jc w:val="both"/>
        <w:rPr>
          <w:rFonts w:ascii="Lato" w:cs="Lato" w:eastAsia="Lato" w:hAnsi="Lato"/>
          <w:sz w:val="20"/>
          <w:szCs w:val="20"/>
        </w:rPr>
      </w:pPr>
      <w:r w:rsidDel="00000000" w:rsidR="00000000" w:rsidRPr="00000000">
        <w:rPr>
          <w:rFonts w:ascii="Lato" w:cs="Lato" w:eastAsia="Lato" w:hAnsi="Lato"/>
          <w:color w:val="004481"/>
          <w:sz w:val="20"/>
          <w:szCs w:val="20"/>
          <w:rtl w:val="0"/>
        </w:rPr>
        <w:t xml:space="preserve">Plazo mínimo de permanencia: 365 días contado desde el inicio de la etapa operativa del fondo, de lo contrario el partícipe asumirá la comisión por rescate que se señala en el presente prospecto. El Fondo está diseñado para que el partícipe permanezca hasta su vencimiento.</w:t>
      </w:r>
      <w:r w:rsidDel="00000000" w:rsidR="00000000" w:rsidRPr="00000000">
        <w:rPr>
          <w:rtl w:val="0"/>
        </w:rPr>
      </w:r>
    </w:p>
    <w:p w:rsidR="00000000" w:rsidDel="00000000" w:rsidP="00000000" w:rsidRDefault="00000000" w:rsidRPr="00000000" w14:paraId="000000B4">
      <w:pPr>
        <w:numPr>
          <w:ilvl w:val="0"/>
          <w:numId w:val="2"/>
        </w:numPr>
        <w:pBdr>
          <w:top w:space="0" w:sz="0" w:val="nil"/>
          <w:left w:space="0" w:sz="0" w:val="nil"/>
          <w:bottom w:space="0" w:sz="0" w:val="nil"/>
          <w:right w:space="0" w:sz="0" w:val="nil"/>
          <w:between w:space="0" w:sz="0" w:val="nil"/>
        </w:pBdr>
        <w:tabs>
          <w:tab w:val="left" w:leader="none" w:pos="451"/>
        </w:tabs>
        <w:spacing w:before="5" w:line="242" w:lineRule="auto"/>
        <w:ind w:left="451" w:right="157" w:hanging="451"/>
        <w:jc w:val="both"/>
        <w:rPr>
          <w:rFonts w:ascii="Lato" w:cs="Lato" w:eastAsia="Lato" w:hAnsi="Lato"/>
          <w:sz w:val="20"/>
          <w:szCs w:val="20"/>
        </w:rPr>
      </w:pPr>
      <w:r w:rsidDel="00000000" w:rsidR="00000000" w:rsidRPr="00000000">
        <w:rPr>
          <w:rFonts w:ascii="Lato" w:cs="Lato" w:eastAsia="Lato" w:hAnsi="Lato"/>
          <w:color w:val="004481"/>
          <w:sz w:val="20"/>
          <w:szCs w:val="20"/>
          <w:rtl w:val="0"/>
        </w:rPr>
        <w:t xml:space="preserve">Hora de corte: la hora de corte para las suscripciones y las solicitudes de rescate de un día es 08:00 p.m. El horario de vigencia del valor cuota es de 24 horas y se inicia a la hora de corte.</w:t>
      </w:r>
      <w:r w:rsidDel="00000000" w:rsidR="00000000" w:rsidRPr="00000000">
        <w:rPr>
          <w:rtl w:val="0"/>
        </w:rPr>
      </w:r>
    </w:p>
    <w:p w:rsidR="00000000" w:rsidDel="00000000" w:rsidP="00000000" w:rsidRDefault="00000000" w:rsidRPr="00000000" w14:paraId="000000B5">
      <w:pPr>
        <w:numPr>
          <w:ilvl w:val="0"/>
          <w:numId w:val="2"/>
        </w:numPr>
        <w:pBdr>
          <w:top w:space="0" w:sz="0" w:val="nil"/>
          <w:left w:space="0" w:sz="0" w:val="nil"/>
          <w:bottom w:space="0" w:sz="0" w:val="nil"/>
          <w:right w:space="0" w:sz="0" w:val="nil"/>
          <w:between w:space="0" w:sz="0" w:val="nil"/>
        </w:pBdr>
        <w:tabs>
          <w:tab w:val="left" w:leader="none" w:pos="451"/>
        </w:tabs>
        <w:spacing w:before="2" w:line="244" w:lineRule="auto"/>
        <w:ind w:left="451" w:right="157" w:hanging="451"/>
        <w:jc w:val="both"/>
        <w:rPr>
          <w:rFonts w:ascii="Lato" w:cs="Lato" w:eastAsia="Lato" w:hAnsi="Lato"/>
          <w:sz w:val="20"/>
          <w:szCs w:val="20"/>
        </w:rPr>
      </w:pPr>
      <w:r w:rsidDel="00000000" w:rsidR="00000000" w:rsidRPr="00000000">
        <w:rPr>
          <w:rFonts w:ascii="Lato" w:cs="Lato" w:eastAsia="Lato" w:hAnsi="Lato"/>
          <w:color w:val="004481"/>
          <w:sz w:val="20"/>
          <w:szCs w:val="20"/>
          <w:rtl w:val="0"/>
        </w:rPr>
        <w:t xml:space="preserve">Asignación del Valor Cuota: Los aportes por suscripción y las solicitudes de rescate que se produzcan hasta antes de la hora de corte de cada día se asignarán al valor cuota del día. El valor cuota de cada día incorpora el efecto de la valorización del portafolio a ese día a partir de la hora de corte. Para mejor comprensión, se incluye el siguiente cuadro:</w:t>
      </w:r>
      <w:r w:rsidDel="00000000" w:rsidR="00000000" w:rsidRPr="00000000">
        <w:rPr>
          <w:rtl w:val="0"/>
        </w:rPr>
      </w:r>
    </w:p>
    <w:p w:rsidR="00000000" w:rsidDel="00000000" w:rsidP="00000000" w:rsidRDefault="00000000" w:rsidRPr="00000000" w14:paraId="000000B6">
      <w:pPr>
        <w:ind w:left="2815" w:right="157" w:hanging="450"/>
        <w:rPr>
          <w:rFonts w:ascii="Lato" w:cs="Lato" w:eastAsia="Lato" w:hAnsi="Lato"/>
          <w:color w:val="004481"/>
          <w:sz w:val="20"/>
          <w:szCs w:val="20"/>
        </w:rPr>
      </w:pPr>
      <w:r w:rsidDel="00000000" w:rsidR="00000000" w:rsidRPr="00000000">
        <w:rPr>
          <w:rtl w:val="0"/>
        </w:rPr>
      </w:r>
    </w:p>
    <w:tbl>
      <w:tblPr>
        <w:tblStyle w:val="Table2"/>
        <w:tblW w:w="6633.0" w:type="dxa"/>
        <w:jc w:val="center"/>
        <w:tblLayout w:type="fixed"/>
        <w:tblLook w:val="0400"/>
      </w:tblPr>
      <w:tblGrid>
        <w:gridCol w:w="2211"/>
        <w:gridCol w:w="2211"/>
        <w:gridCol w:w="2211"/>
        <w:tblGridChange w:id="0">
          <w:tblGrid>
            <w:gridCol w:w="2211"/>
            <w:gridCol w:w="2211"/>
            <w:gridCol w:w="2211"/>
          </w:tblGrid>
        </w:tblGridChange>
      </w:tblGrid>
      <w:tr>
        <w:trPr>
          <w:cantSplit w:val="0"/>
          <w:trHeight w:val="1020" w:hRule="atLeast"/>
          <w:tblHeader w:val="0"/>
        </w:trPr>
        <w:tc>
          <w:tcPr>
            <w:tcBorders>
              <w:top w:color="02a5a5" w:space="0" w:sz="4" w:val="single"/>
              <w:left w:color="02a5a5" w:space="0" w:sz="4" w:val="single"/>
              <w:bottom w:color="02a5a5" w:space="0" w:sz="4" w:val="single"/>
              <w:right w:color="02a5a5" w:space="0" w:sz="4" w:val="single"/>
            </w:tcBorders>
            <w:shd w:fill="13b3b3" w:val="clear"/>
            <w:vAlign w:val="center"/>
          </w:tcPr>
          <w:p w:rsidR="00000000" w:rsidDel="00000000" w:rsidP="00000000" w:rsidRDefault="00000000" w:rsidRPr="00000000" w14:paraId="000000B7">
            <w:pPr>
              <w:widowControl w:val="1"/>
              <w:ind w:left="0" w:right="70.7480314960631" w:firstLine="0"/>
              <w:jc w:val="center"/>
              <w:rPr>
                <w:rFonts w:ascii="Lato" w:cs="Lato" w:eastAsia="Lato" w:hAnsi="Lato"/>
                <w:color w:val="ffffff"/>
                <w:sz w:val="20"/>
                <w:szCs w:val="20"/>
              </w:rPr>
            </w:pPr>
            <w:r w:rsidDel="00000000" w:rsidR="00000000" w:rsidRPr="00000000">
              <w:rPr>
                <w:rFonts w:ascii="Lato" w:cs="Lato" w:eastAsia="Lato" w:hAnsi="Lato"/>
                <w:color w:val="ffffff"/>
                <w:sz w:val="20"/>
                <w:szCs w:val="20"/>
                <w:rtl w:val="0"/>
              </w:rPr>
              <w:t xml:space="preserve">Día del aporte o de presentación de la solicitud de rescate</w:t>
            </w:r>
          </w:p>
        </w:tc>
        <w:tc>
          <w:tcPr>
            <w:tcBorders>
              <w:top w:color="02a5a5" w:space="0" w:sz="4" w:val="single"/>
              <w:left w:color="02a5a5" w:space="0" w:sz="4" w:val="single"/>
              <w:bottom w:color="02a5a5" w:space="0" w:sz="4" w:val="single"/>
              <w:right w:color="02a5a5" w:space="0" w:sz="4" w:val="single"/>
            </w:tcBorders>
            <w:shd w:fill="13b3b3" w:val="clear"/>
            <w:vAlign w:val="center"/>
          </w:tcPr>
          <w:p w:rsidR="00000000" w:rsidDel="00000000" w:rsidP="00000000" w:rsidRDefault="00000000" w:rsidRPr="00000000" w14:paraId="000000B8">
            <w:pPr>
              <w:widowControl w:val="1"/>
              <w:jc w:val="center"/>
              <w:rPr>
                <w:rFonts w:ascii="Lato" w:cs="Lato" w:eastAsia="Lato" w:hAnsi="Lato"/>
                <w:color w:val="ffffff"/>
                <w:sz w:val="20"/>
                <w:szCs w:val="20"/>
              </w:rPr>
            </w:pPr>
            <w:r w:rsidDel="00000000" w:rsidR="00000000" w:rsidRPr="00000000">
              <w:rPr>
                <w:rFonts w:ascii="Lato" w:cs="Lato" w:eastAsia="Lato" w:hAnsi="Lato"/>
                <w:color w:val="ffffff"/>
                <w:sz w:val="20"/>
                <w:szCs w:val="20"/>
                <w:rtl w:val="0"/>
              </w:rPr>
              <w:t xml:space="preserve">Día de asignación de valor cuota</w:t>
            </w:r>
          </w:p>
        </w:tc>
        <w:tc>
          <w:tcPr>
            <w:tcBorders>
              <w:top w:color="02a5a5" w:space="0" w:sz="4" w:val="single"/>
              <w:left w:color="02a5a5" w:space="0" w:sz="4" w:val="single"/>
              <w:bottom w:color="02a5a5" w:space="0" w:sz="4" w:val="single"/>
              <w:right w:color="02a5a5" w:space="0" w:sz="4" w:val="single"/>
            </w:tcBorders>
            <w:shd w:fill="13b3b3" w:val="clear"/>
            <w:vAlign w:val="center"/>
          </w:tcPr>
          <w:p w:rsidR="00000000" w:rsidDel="00000000" w:rsidP="00000000" w:rsidRDefault="00000000" w:rsidRPr="00000000" w14:paraId="000000B9">
            <w:pPr>
              <w:widowControl w:val="1"/>
              <w:ind w:left="0" w:right="70.74803149606396" w:hanging="45"/>
              <w:jc w:val="center"/>
              <w:rPr>
                <w:rFonts w:ascii="Lato" w:cs="Lato" w:eastAsia="Lato" w:hAnsi="Lato"/>
                <w:color w:val="ffffff"/>
                <w:sz w:val="20"/>
                <w:szCs w:val="20"/>
              </w:rPr>
            </w:pPr>
            <w:r w:rsidDel="00000000" w:rsidR="00000000" w:rsidRPr="00000000">
              <w:rPr>
                <w:rFonts w:ascii="Lato" w:cs="Lato" w:eastAsia="Lato" w:hAnsi="Lato"/>
                <w:color w:val="ffffff"/>
                <w:sz w:val="20"/>
                <w:szCs w:val="20"/>
                <w:rtl w:val="0"/>
              </w:rPr>
              <w:t xml:space="preserve">Día del pago de</w:t>
            </w:r>
          </w:p>
          <w:p w:rsidR="00000000" w:rsidDel="00000000" w:rsidP="00000000" w:rsidRDefault="00000000" w:rsidRPr="00000000" w14:paraId="000000BA">
            <w:pPr>
              <w:widowControl w:val="1"/>
              <w:ind w:left="0" w:right="70.74803149606396" w:hanging="45"/>
              <w:jc w:val="center"/>
              <w:rPr>
                <w:rFonts w:ascii="Lato" w:cs="Lato" w:eastAsia="Lato" w:hAnsi="Lato"/>
                <w:color w:val="ffffff"/>
                <w:sz w:val="20"/>
                <w:szCs w:val="20"/>
              </w:rPr>
            </w:pPr>
            <w:r w:rsidDel="00000000" w:rsidR="00000000" w:rsidRPr="00000000">
              <w:rPr>
                <w:rFonts w:ascii="Lato" w:cs="Lato" w:eastAsia="Lato" w:hAnsi="Lato"/>
                <w:color w:val="ffffff"/>
                <w:sz w:val="20"/>
                <w:szCs w:val="20"/>
                <w:rtl w:val="0"/>
              </w:rPr>
              <w:t xml:space="preserve">rescate (*)</w:t>
            </w:r>
          </w:p>
        </w:tc>
      </w:tr>
      <w:tr>
        <w:trPr>
          <w:cantSplit w:val="0"/>
          <w:trHeight w:val="300" w:hRule="atLeast"/>
          <w:tblHeader w:val="0"/>
        </w:trPr>
        <w:tc>
          <w:tcPr>
            <w:tcBorders>
              <w:top w:color="02a5a5" w:space="0" w:sz="4" w:val="single"/>
              <w:left w:color="02a5a5" w:space="0" w:sz="4" w:val="single"/>
              <w:bottom w:color="02a5a5" w:space="0" w:sz="4" w:val="single"/>
              <w:right w:color="02a5a5" w:space="0" w:sz="4" w:val="single"/>
            </w:tcBorders>
            <w:shd w:fill="auto" w:val="clear"/>
            <w:vAlign w:val="center"/>
          </w:tcPr>
          <w:p w:rsidR="00000000" w:rsidDel="00000000" w:rsidP="00000000" w:rsidRDefault="00000000" w:rsidRPr="00000000" w14:paraId="000000BB">
            <w:pPr>
              <w:widowControl w:val="1"/>
              <w:ind w:right="157" w:hanging="16"/>
              <w:jc w:val="center"/>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Lunes</w:t>
            </w:r>
          </w:p>
        </w:tc>
        <w:tc>
          <w:tcPr>
            <w:tcBorders>
              <w:top w:color="02a5a5" w:space="0" w:sz="4" w:val="single"/>
              <w:left w:color="02a5a5" w:space="0" w:sz="4" w:val="single"/>
              <w:bottom w:color="02a5a5" w:space="0" w:sz="4" w:val="single"/>
              <w:right w:color="02a5a5" w:space="0" w:sz="4" w:val="single"/>
            </w:tcBorders>
            <w:shd w:fill="auto" w:val="clear"/>
            <w:vAlign w:val="center"/>
          </w:tcPr>
          <w:p w:rsidR="00000000" w:rsidDel="00000000" w:rsidP="00000000" w:rsidRDefault="00000000" w:rsidRPr="00000000" w14:paraId="000000BC">
            <w:pPr>
              <w:widowControl w:val="1"/>
              <w:ind w:right="157"/>
              <w:jc w:val="center"/>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Lunes</w:t>
            </w:r>
          </w:p>
        </w:tc>
        <w:tc>
          <w:tcPr>
            <w:tcBorders>
              <w:top w:color="02a5a5" w:space="0" w:sz="4" w:val="single"/>
              <w:left w:color="02a5a5" w:space="0" w:sz="4" w:val="single"/>
              <w:bottom w:color="02a5a5" w:space="0" w:sz="4" w:val="single"/>
              <w:right w:color="02a5a5" w:space="0" w:sz="4" w:val="single"/>
            </w:tcBorders>
            <w:shd w:fill="auto" w:val="clear"/>
            <w:vAlign w:val="center"/>
          </w:tcPr>
          <w:p w:rsidR="00000000" w:rsidDel="00000000" w:rsidP="00000000" w:rsidRDefault="00000000" w:rsidRPr="00000000" w14:paraId="000000BD">
            <w:pPr>
              <w:widowControl w:val="1"/>
              <w:ind w:right="157"/>
              <w:jc w:val="center"/>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Martes</w:t>
            </w:r>
          </w:p>
        </w:tc>
      </w:tr>
      <w:tr>
        <w:trPr>
          <w:cantSplit w:val="0"/>
          <w:trHeight w:val="300" w:hRule="atLeast"/>
          <w:tblHeader w:val="0"/>
        </w:trPr>
        <w:tc>
          <w:tcPr>
            <w:tcBorders>
              <w:top w:color="02a5a5" w:space="0" w:sz="4" w:val="single"/>
              <w:left w:color="02a5a5" w:space="0" w:sz="4" w:val="single"/>
              <w:bottom w:color="02a5a5" w:space="0" w:sz="4" w:val="single"/>
              <w:right w:color="02a5a5" w:space="0" w:sz="4" w:val="single"/>
            </w:tcBorders>
            <w:shd w:fill="auto" w:val="clear"/>
            <w:vAlign w:val="center"/>
          </w:tcPr>
          <w:p w:rsidR="00000000" w:rsidDel="00000000" w:rsidP="00000000" w:rsidRDefault="00000000" w:rsidRPr="00000000" w14:paraId="000000BE">
            <w:pPr>
              <w:widowControl w:val="1"/>
              <w:ind w:right="157" w:hanging="16"/>
              <w:jc w:val="center"/>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Martes</w:t>
            </w:r>
          </w:p>
        </w:tc>
        <w:tc>
          <w:tcPr>
            <w:tcBorders>
              <w:top w:color="02a5a5" w:space="0" w:sz="4" w:val="single"/>
              <w:left w:color="02a5a5" w:space="0" w:sz="4" w:val="single"/>
              <w:bottom w:color="02a5a5" w:space="0" w:sz="4" w:val="single"/>
              <w:right w:color="02a5a5" w:space="0" w:sz="4" w:val="single"/>
            </w:tcBorders>
            <w:shd w:fill="auto" w:val="clear"/>
            <w:vAlign w:val="center"/>
          </w:tcPr>
          <w:p w:rsidR="00000000" w:rsidDel="00000000" w:rsidP="00000000" w:rsidRDefault="00000000" w:rsidRPr="00000000" w14:paraId="000000BF">
            <w:pPr>
              <w:widowControl w:val="1"/>
              <w:ind w:right="157"/>
              <w:jc w:val="center"/>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Martes</w:t>
            </w:r>
          </w:p>
        </w:tc>
        <w:tc>
          <w:tcPr>
            <w:tcBorders>
              <w:top w:color="02a5a5" w:space="0" w:sz="4" w:val="single"/>
              <w:left w:color="02a5a5" w:space="0" w:sz="4" w:val="single"/>
              <w:bottom w:color="02a5a5" w:space="0" w:sz="4" w:val="single"/>
              <w:right w:color="02a5a5" w:space="0" w:sz="4" w:val="single"/>
            </w:tcBorders>
            <w:shd w:fill="auto" w:val="clear"/>
            <w:vAlign w:val="center"/>
          </w:tcPr>
          <w:p w:rsidR="00000000" w:rsidDel="00000000" w:rsidP="00000000" w:rsidRDefault="00000000" w:rsidRPr="00000000" w14:paraId="000000C0">
            <w:pPr>
              <w:widowControl w:val="1"/>
              <w:ind w:right="157"/>
              <w:jc w:val="center"/>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Miércoles</w:t>
            </w:r>
          </w:p>
        </w:tc>
      </w:tr>
      <w:tr>
        <w:trPr>
          <w:cantSplit w:val="0"/>
          <w:trHeight w:val="300" w:hRule="atLeast"/>
          <w:tblHeader w:val="0"/>
        </w:trPr>
        <w:tc>
          <w:tcPr>
            <w:tcBorders>
              <w:top w:color="02a5a5" w:space="0" w:sz="4" w:val="single"/>
              <w:left w:color="02a5a5" w:space="0" w:sz="4" w:val="single"/>
              <w:bottom w:color="02a5a5" w:space="0" w:sz="4" w:val="single"/>
              <w:right w:color="02a5a5" w:space="0" w:sz="4" w:val="single"/>
            </w:tcBorders>
            <w:shd w:fill="auto" w:val="clear"/>
            <w:vAlign w:val="center"/>
          </w:tcPr>
          <w:p w:rsidR="00000000" w:rsidDel="00000000" w:rsidP="00000000" w:rsidRDefault="00000000" w:rsidRPr="00000000" w14:paraId="000000C1">
            <w:pPr>
              <w:widowControl w:val="1"/>
              <w:ind w:right="157" w:hanging="16"/>
              <w:jc w:val="center"/>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Miércoles</w:t>
            </w:r>
          </w:p>
        </w:tc>
        <w:tc>
          <w:tcPr>
            <w:tcBorders>
              <w:top w:color="02a5a5" w:space="0" w:sz="4" w:val="single"/>
              <w:left w:color="02a5a5" w:space="0" w:sz="4" w:val="single"/>
              <w:bottom w:color="02a5a5" w:space="0" w:sz="4" w:val="single"/>
              <w:right w:color="02a5a5" w:space="0" w:sz="4" w:val="single"/>
            </w:tcBorders>
            <w:shd w:fill="auto" w:val="clear"/>
            <w:vAlign w:val="center"/>
          </w:tcPr>
          <w:p w:rsidR="00000000" w:rsidDel="00000000" w:rsidP="00000000" w:rsidRDefault="00000000" w:rsidRPr="00000000" w14:paraId="000000C2">
            <w:pPr>
              <w:widowControl w:val="1"/>
              <w:ind w:right="157"/>
              <w:jc w:val="center"/>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Miércoles</w:t>
            </w:r>
          </w:p>
        </w:tc>
        <w:tc>
          <w:tcPr>
            <w:tcBorders>
              <w:top w:color="02a5a5" w:space="0" w:sz="4" w:val="single"/>
              <w:left w:color="02a5a5" w:space="0" w:sz="4" w:val="single"/>
              <w:bottom w:color="02a5a5" w:space="0" w:sz="4" w:val="single"/>
              <w:right w:color="02a5a5" w:space="0" w:sz="4" w:val="single"/>
            </w:tcBorders>
            <w:shd w:fill="auto" w:val="clear"/>
            <w:vAlign w:val="center"/>
          </w:tcPr>
          <w:p w:rsidR="00000000" w:rsidDel="00000000" w:rsidP="00000000" w:rsidRDefault="00000000" w:rsidRPr="00000000" w14:paraId="000000C3">
            <w:pPr>
              <w:widowControl w:val="1"/>
              <w:ind w:right="157"/>
              <w:jc w:val="center"/>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Jueves</w:t>
            </w:r>
          </w:p>
        </w:tc>
      </w:tr>
      <w:tr>
        <w:trPr>
          <w:cantSplit w:val="0"/>
          <w:trHeight w:val="300" w:hRule="atLeast"/>
          <w:tblHeader w:val="0"/>
        </w:trPr>
        <w:tc>
          <w:tcPr>
            <w:tcBorders>
              <w:top w:color="02a5a5" w:space="0" w:sz="4" w:val="single"/>
              <w:left w:color="02a5a5" w:space="0" w:sz="4" w:val="single"/>
              <w:bottom w:color="02a5a5" w:space="0" w:sz="4" w:val="single"/>
              <w:right w:color="02a5a5" w:space="0" w:sz="4" w:val="single"/>
            </w:tcBorders>
            <w:shd w:fill="auto" w:val="clear"/>
            <w:vAlign w:val="center"/>
          </w:tcPr>
          <w:p w:rsidR="00000000" w:rsidDel="00000000" w:rsidP="00000000" w:rsidRDefault="00000000" w:rsidRPr="00000000" w14:paraId="000000C4">
            <w:pPr>
              <w:widowControl w:val="1"/>
              <w:ind w:right="157" w:hanging="16"/>
              <w:jc w:val="center"/>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Jueves</w:t>
            </w:r>
          </w:p>
        </w:tc>
        <w:tc>
          <w:tcPr>
            <w:tcBorders>
              <w:top w:color="02a5a5" w:space="0" w:sz="4" w:val="single"/>
              <w:left w:color="02a5a5" w:space="0" w:sz="4" w:val="single"/>
              <w:bottom w:color="02a5a5" w:space="0" w:sz="4" w:val="single"/>
              <w:right w:color="02a5a5" w:space="0" w:sz="4" w:val="single"/>
            </w:tcBorders>
            <w:shd w:fill="auto" w:val="clear"/>
            <w:vAlign w:val="center"/>
          </w:tcPr>
          <w:p w:rsidR="00000000" w:rsidDel="00000000" w:rsidP="00000000" w:rsidRDefault="00000000" w:rsidRPr="00000000" w14:paraId="000000C5">
            <w:pPr>
              <w:widowControl w:val="1"/>
              <w:ind w:right="157"/>
              <w:jc w:val="center"/>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Jueves</w:t>
            </w:r>
          </w:p>
        </w:tc>
        <w:tc>
          <w:tcPr>
            <w:tcBorders>
              <w:top w:color="02a5a5" w:space="0" w:sz="4" w:val="single"/>
              <w:left w:color="02a5a5" w:space="0" w:sz="4" w:val="single"/>
              <w:bottom w:color="02a5a5" w:space="0" w:sz="4" w:val="single"/>
              <w:right w:color="02a5a5" w:space="0" w:sz="4" w:val="single"/>
            </w:tcBorders>
            <w:shd w:fill="auto" w:val="clear"/>
            <w:vAlign w:val="center"/>
          </w:tcPr>
          <w:p w:rsidR="00000000" w:rsidDel="00000000" w:rsidP="00000000" w:rsidRDefault="00000000" w:rsidRPr="00000000" w14:paraId="000000C6">
            <w:pPr>
              <w:widowControl w:val="1"/>
              <w:ind w:right="157"/>
              <w:jc w:val="center"/>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Viernes</w:t>
            </w:r>
          </w:p>
        </w:tc>
      </w:tr>
      <w:tr>
        <w:trPr>
          <w:cantSplit w:val="0"/>
          <w:trHeight w:val="300" w:hRule="atLeast"/>
          <w:tblHeader w:val="0"/>
        </w:trPr>
        <w:tc>
          <w:tcPr>
            <w:tcBorders>
              <w:top w:color="02a5a5" w:space="0" w:sz="4" w:val="single"/>
              <w:left w:color="02a5a5" w:space="0" w:sz="4" w:val="single"/>
              <w:bottom w:color="02a5a5" w:space="0" w:sz="4" w:val="single"/>
              <w:right w:color="02a5a5" w:space="0" w:sz="4" w:val="single"/>
            </w:tcBorders>
            <w:shd w:fill="auto" w:val="clear"/>
            <w:vAlign w:val="center"/>
          </w:tcPr>
          <w:p w:rsidR="00000000" w:rsidDel="00000000" w:rsidP="00000000" w:rsidRDefault="00000000" w:rsidRPr="00000000" w14:paraId="000000C7">
            <w:pPr>
              <w:widowControl w:val="1"/>
              <w:ind w:right="157" w:hanging="16"/>
              <w:jc w:val="center"/>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Viernes</w:t>
            </w:r>
          </w:p>
        </w:tc>
        <w:tc>
          <w:tcPr>
            <w:tcBorders>
              <w:top w:color="02a5a5" w:space="0" w:sz="4" w:val="single"/>
              <w:left w:color="02a5a5" w:space="0" w:sz="4" w:val="single"/>
              <w:bottom w:color="02a5a5" w:space="0" w:sz="4" w:val="single"/>
              <w:right w:color="02a5a5" w:space="0" w:sz="4" w:val="single"/>
            </w:tcBorders>
            <w:shd w:fill="auto" w:val="clear"/>
            <w:vAlign w:val="center"/>
          </w:tcPr>
          <w:p w:rsidR="00000000" w:rsidDel="00000000" w:rsidP="00000000" w:rsidRDefault="00000000" w:rsidRPr="00000000" w14:paraId="000000C8">
            <w:pPr>
              <w:widowControl w:val="1"/>
              <w:ind w:right="157"/>
              <w:jc w:val="center"/>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Viernes</w:t>
            </w:r>
          </w:p>
        </w:tc>
        <w:tc>
          <w:tcPr>
            <w:tcBorders>
              <w:top w:color="02a5a5" w:space="0" w:sz="4" w:val="single"/>
              <w:left w:color="02a5a5" w:space="0" w:sz="4" w:val="single"/>
              <w:bottom w:color="02a5a5" w:space="0" w:sz="4" w:val="single"/>
              <w:right w:color="02a5a5" w:space="0" w:sz="4" w:val="single"/>
            </w:tcBorders>
            <w:shd w:fill="auto" w:val="clear"/>
            <w:vAlign w:val="center"/>
          </w:tcPr>
          <w:p w:rsidR="00000000" w:rsidDel="00000000" w:rsidP="00000000" w:rsidRDefault="00000000" w:rsidRPr="00000000" w14:paraId="000000C9">
            <w:pPr>
              <w:widowControl w:val="1"/>
              <w:ind w:right="157"/>
              <w:jc w:val="center"/>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Sábado</w:t>
            </w:r>
          </w:p>
        </w:tc>
      </w:tr>
    </w:tbl>
    <w:p w:rsidR="00000000" w:rsidDel="00000000" w:rsidP="00000000" w:rsidRDefault="00000000" w:rsidRPr="00000000" w14:paraId="000000CA">
      <w:pPr>
        <w:spacing w:before="9" w:line="260" w:lineRule="auto"/>
        <w:ind w:left="709" w:right="157" w:hanging="451"/>
        <w:jc w:val="both"/>
        <w:rPr>
          <w:rFonts w:ascii="Lato" w:cs="Lato" w:eastAsia="Lato" w:hAnsi="Lato"/>
          <w:color w:val="004481"/>
          <w:sz w:val="20"/>
          <w:szCs w:val="20"/>
        </w:rPr>
      </w:pPr>
      <w:r w:rsidDel="00000000" w:rsidR="00000000" w:rsidRPr="00000000">
        <w:rPr>
          <w:rtl w:val="0"/>
        </w:rPr>
      </w:r>
    </w:p>
    <w:p w:rsidR="00000000" w:rsidDel="00000000" w:rsidP="00000000" w:rsidRDefault="00000000" w:rsidRPr="00000000" w14:paraId="000000CB">
      <w:pPr>
        <w:spacing w:before="9" w:line="260" w:lineRule="auto"/>
        <w:ind w:left="709" w:right="157" w:hanging="451"/>
        <w:jc w:val="both"/>
        <w:rPr>
          <w:rFonts w:ascii="Lato" w:cs="Lato" w:eastAsia="Lato" w:hAnsi="Lato"/>
          <w:color w:val="004481"/>
          <w:sz w:val="16"/>
          <w:szCs w:val="16"/>
        </w:rPr>
      </w:pPr>
      <w:r w:rsidDel="00000000" w:rsidR="00000000" w:rsidRPr="00000000">
        <w:rPr>
          <w:rFonts w:ascii="Lato" w:cs="Lato" w:eastAsia="Lato" w:hAnsi="Lato"/>
          <w:color w:val="004481"/>
          <w:sz w:val="16"/>
          <w:szCs w:val="16"/>
          <w:rtl w:val="0"/>
        </w:rPr>
        <w:tab/>
        <w:t xml:space="preserve">(*) No aplica en caso de: (i) el día del pago fuese feriado, caso en el que el pago se realizará al día útil siguiente, (ii)que el rescate sea calificado como significativo.</w:t>
      </w:r>
    </w:p>
    <w:p w:rsidR="00000000" w:rsidDel="00000000" w:rsidP="00000000" w:rsidRDefault="00000000" w:rsidRPr="00000000" w14:paraId="000000CC">
      <w:pPr>
        <w:spacing w:line="246" w:lineRule="auto"/>
        <w:ind w:left="100" w:right="157" w:hanging="451"/>
        <w:rPr>
          <w:rFonts w:ascii="Lato" w:cs="Lato" w:eastAsia="Lato" w:hAnsi="Lato"/>
          <w:color w:val="004481"/>
          <w:sz w:val="20"/>
          <w:szCs w:val="20"/>
        </w:rPr>
      </w:pPr>
      <w:r w:rsidDel="00000000" w:rsidR="00000000" w:rsidRPr="00000000">
        <w:rPr>
          <w:rtl w:val="0"/>
        </w:rPr>
      </w:r>
    </w:p>
    <w:p w:rsidR="00000000" w:rsidDel="00000000" w:rsidP="00000000" w:rsidRDefault="00000000" w:rsidRPr="00000000" w14:paraId="000000CD">
      <w:pPr>
        <w:spacing w:line="246" w:lineRule="auto"/>
        <w:ind w:left="425.19685039370086" w:right="157" w:firstLine="0"/>
        <w:jc w:val="both"/>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Cabe señalar que, para los casos de traspaso, la asignación del valor cuota dependerá de las condiciones establecidas en el presente Anexo del Reglamento de Participación y los respectivos prospectos simplificados de los fondos en los que opere el rescate y la suscripción de cuotas.</w:t>
      </w:r>
    </w:p>
    <w:p w:rsidR="00000000" w:rsidDel="00000000" w:rsidP="00000000" w:rsidRDefault="00000000" w:rsidRPr="00000000" w14:paraId="000000CE">
      <w:pPr>
        <w:spacing w:line="246" w:lineRule="auto"/>
        <w:ind w:left="426" w:right="157" w:firstLine="0"/>
        <w:jc w:val="both"/>
        <w:rPr>
          <w:rFonts w:ascii="Lato" w:cs="Lato" w:eastAsia="Lato" w:hAnsi="Lato"/>
          <w:color w:val="004481"/>
          <w:sz w:val="20"/>
          <w:szCs w:val="20"/>
        </w:rPr>
      </w:pPr>
      <w:r w:rsidDel="00000000" w:rsidR="00000000" w:rsidRPr="00000000">
        <w:rPr>
          <w:rtl w:val="0"/>
        </w:rPr>
      </w:r>
    </w:p>
    <w:p w:rsidR="00000000" w:rsidDel="00000000" w:rsidP="00000000" w:rsidRDefault="00000000" w:rsidRPr="00000000" w14:paraId="000000CF">
      <w:pPr>
        <w:numPr>
          <w:ilvl w:val="0"/>
          <w:numId w:val="2"/>
        </w:numPr>
        <w:pBdr>
          <w:top w:space="0" w:sz="0" w:val="nil"/>
          <w:left w:space="0" w:sz="0" w:val="nil"/>
          <w:bottom w:space="0" w:sz="0" w:val="nil"/>
          <w:right w:space="0" w:sz="0" w:val="nil"/>
          <w:between w:space="0" w:sz="0" w:val="nil"/>
        </w:pBdr>
        <w:tabs>
          <w:tab w:val="left" w:leader="none" w:pos="426"/>
        </w:tabs>
        <w:spacing w:line="244" w:lineRule="auto"/>
        <w:ind w:left="426" w:right="157" w:hanging="451"/>
        <w:jc w:val="both"/>
        <w:rPr>
          <w:rFonts w:ascii="Lato" w:cs="Lato" w:eastAsia="Lato" w:hAnsi="Lato"/>
          <w:sz w:val="20"/>
          <w:szCs w:val="20"/>
        </w:rPr>
      </w:pPr>
      <w:r w:rsidDel="00000000" w:rsidR="00000000" w:rsidRPr="00000000">
        <w:rPr>
          <w:rFonts w:ascii="Lato" w:cs="Lato" w:eastAsia="Lato" w:hAnsi="Lato"/>
          <w:color w:val="004481"/>
          <w:sz w:val="20"/>
          <w:szCs w:val="20"/>
          <w:rtl w:val="0"/>
        </w:rPr>
        <w:t xml:space="preserve">Medios y Horario de atención: Las suscripciones, rescates, transferencias y traspasos se podrán realizar a través de las oficinas del BBVA, de lunes a viernes, entre las 9:00 a.m. y las 8:00 p.m. (este horario está sujeto al horario de atención al público de cada oficina del BBVA).  Se podrá realizar la suscripción inicial del </w:t>
      </w:r>
      <w:r w:rsidDel="00000000" w:rsidR="00000000" w:rsidRPr="00000000">
        <w:rPr>
          <w:rFonts w:ascii="Lato" w:cs="Lato" w:eastAsia="Lato" w:hAnsi="Lato"/>
          <w:color w:val="004481"/>
          <w:sz w:val="20"/>
          <w:szCs w:val="20"/>
          <w:highlight w:val="white"/>
          <w:rtl w:val="0"/>
        </w:rPr>
        <w:t xml:space="preserve">FONDO</w:t>
      </w:r>
      <w:r w:rsidDel="00000000" w:rsidR="00000000" w:rsidRPr="00000000">
        <w:rPr>
          <w:rFonts w:ascii="Lato" w:cs="Lato" w:eastAsia="Lato" w:hAnsi="Lato"/>
          <w:color w:val="004481"/>
          <w:sz w:val="20"/>
          <w:szCs w:val="20"/>
          <w:rtl w:val="0"/>
        </w:rPr>
        <w:t xml:space="preserve"> y suscripciones posteriores a través de Banca por Internet y Banca Móvil del BBVA. Se podrán realizar suscripciones y rescates parciales a través de medios electrónicos disponibles</w:t>
      </w:r>
      <w:r w:rsidDel="00000000" w:rsidR="00000000" w:rsidRPr="00000000">
        <w:rPr>
          <w:rFonts w:ascii="Lato" w:cs="Lato" w:eastAsia="Lato" w:hAnsi="Lato"/>
          <w:color w:val="004481"/>
          <w:rtl w:val="0"/>
        </w:rPr>
        <w:t xml:space="preserve"> </w:t>
      </w:r>
      <w:r w:rsidDel="00000000" w:rsidR="00000000" w:rsidRPr="00000000">
        <w:rPr>
          <w:rFonts w:ascii="Lato" w:cs="Lato" w:eastAsia="Lato" w:hAnsi="Lato"/>
          <w:color w:val="004481"/>
          <w:sz w:val="20"/>
          <w:szCs w:val="20"/>
          <w:rtl w:val="0"/>
        </w:rPr>
        <w:t xml:space="preserve">durante las 24 horas del día, durante todos los días del año. Las solicitudes de suscripción y rescate realizadas a través de medios electrónicos los días sábados, domingos, feriados y fuera del horario de atención a través de las oficinas de BBVA serán atendidas el día útil siguiente (“Día de Atención”) y se les asignará el valor cuota que corresponda de acuerdo a lo dispuesto en la presente sección 4. No se atenderán solicitudes de rescate total, transferencia y traspaso a través de medios electrónicos. Para Personas Naturales existe un importe máximo para proceder con el rescate, en relación al parámetro que tenga definido cada cliente con el BBVA. En caso de que el cliente decida ampliar dicho parámetro, se deberá comunicar con la central de atención de dicho banco para tal efecto. Para suscripciones no se contempla un monto máximo. En el caso de suscripciones y rescates de Personas Jurídicas, el partícipe suscribirá con el BBVA el formulario de inscripción de Banca por Internet donde autorizará los límites y facultades de sus apoderados. </w:t>
      </w:r>
      <w:r w:rsidDel="00000000" w:rsidR="00000000" w:rsidRPr="00000000">
        <w:rPr>
          <w:rtl w:val="0"/>
        </w:rPr>
      </w:r>
    </w:p>
    <w:p w:rsidR="00000000" w:rsidDel="00000000" w:rsidP="00000000" w:rsidRDefault="00000000" w:rsidRPr="00000000" w14:paraId="000000D0">
      <w:pPr>
        <w:numPr>
          <w:ilvl w:val="0"/>
          <w:numId w:val="2"/>
        </w:numPr>
        <w:pBdr>
          <w:top w:space="0" w:sz="0" w:val="nil"/>
          <w:left w:space="0" w:sz="0" w:val="nil"/>
          <w:bottom w:space="0" w:sz="0" w:val="nil"/>
          <w:right w:space="0" w:sz="0" w:val="nil"/>
          <w:between w:space="0" w:sz="0" w:val="nil"/>
        </w:pBdr>
        <w:tabs>
          <w:tab w:val="left" w:leader="none" w:pos="426"/>
        </w:tabs>
        <w:spacing w:before="3" w:line="242" w:lineRule="auto"/>
        <w:ind w:left="426" w:right="157" w:hanging="451"/>
        <w:jc w:val="both"/>
        <w:rPr>
          <w:rFonts w:ascii="Lato" w:cs="Lato" w:eastAsia="Lato" w:hAnsi="Lato"/>
          <w:sz w:val="20"/>
          <w:szCs w:val="20"/>
        </w:rPr>
      </w:pPr>
      <w:r w:rsidDel="00000000" w:rsidR="00000000" w:rsidRPr="00000000">
        <w:rPr>
          <w:rFonts w:ascii="Lato" w:cs="Lato" w:eastAsia="Lato" w:hAnsi="Lato"/>
          <w:color w:val="004481"/>
          <w:sz w:val="20"/>
          <w:szCs w:val="20"/>
          <w:rtl w:val="0"/>
        </w:rPr>
        <w:t xml:space="preserve">Plazo para el pago de rescates: El pago del rescate se efectuará en un plazo que no excederá de un (1) día útil siguiente desde que se asigne el valor cuota correspondiente.</w:t>
      </w:r>
      <w:r w:rsidDel="00000000" w:rsidR="00000000" w:rsidRPr="00000000">
        <w:rPr>
          <w:rtl w:val="0"/>
        </w:rPr>
      </w:r>
    </w:p>
    <w:p w:rsidR="00000000" w:rsidDel="00000000" w:rsidP="00000000" w:rsidRDefault="00000000" w:rsidRPr="00000000" w14:paraId="000000D1">
      <w:pPr>
        <w:numPr>
          <w:ilvl w:val="0"/>
          <w:numId w:val="2"/>
        </w:numPr>
        <w:pBdr>
          <w:top w:space="0" w:sz="0" w:val="nil"/>
          <w:left w:space="0" w:sz="0" w:val="nil"/>
          <w:bottom w:space="0" w:sz="0" w:val="nil"/>
          <w:right w:space="0" w:sz="0" w:val="nil"/>
          <w:between w:space="0" w:sz="0" w:val="nil"/>
        </w:pBdr>
        <w:tabs>
          <w:tab w:val="left" w:leader="none" w:pos="426"/>
        </w:tabs>
        <w:spacing w:line="244" w:lineRule="auto"/>
        <w:ind w:left="426" w:right="157" w:hanging="451"/>
        <w:jc w:val="both"/>
        <w:rPr>
          <w:rFonts w:ascii="Lato" w:cs="Lato" w:eastAsia="Lato" w:hAnsi="Lato"/>
          <w:sz w:val="20"/>
          <w:szCs w:val="20"/>
        </w:rPr>
      </w:pPr>
      <w:r w:rsidDel="00000000" w:rsidR="00000000" w:rsidRPr="00000000">
        <w:rPr>
          <w:rFonts w:ascii="Lato" w:cs="Lato" w:eastAsia="Lato" w:hAnsi="Lato"/>
          <w:color w:val="004481"/>
          <w:sz w:val="20"/>
          <w:szCs w:val="20"/>
          <w:rtl w:val="0"/>
        </w:rPr>
        <w:t xml:space="preserve">Rescates significativos: En caso de rescates individuales que superen el 2% del patrimonio neto del FONDO del día y/o en caso de rescates grupales que superen el 3% del patrimonio neto del FONDO del día, el/los participe(s) serán notificados mediante comunicación escrita o por correo electrónico, dentro de un (1) día útil de presentada la solicitud de rescate. El pago de dichos rescates deberá realizarse dentro los (diez) 10 días útiles de presentada la solicitud.</w:t>
      </w:r>
      <w:r w:rsidDel="00000000" w:rsidR="00000000" w:rsidRPr="00000000">
        <w:rPr>
          <w:rtl w:val="0"/>
        </w:rPr>
      </w:r>
    </w:p>
    <w:p w:rsidR="00000000" w:rsidDel="00000000" w:rsidP="00000000" w:rsidRDefault="00000000" w:rsidRPr="00000000" w14:paraId="000000D2">
      <w:pPr>
        <w:numPr>
          <w:ilvl w:val="0"/>
          <w:numId w:val="2"/>
        </w:numPr>
        <w:pBdr>
          <w:top w:space="0" w:sz="0" w:val="nil"/>
          <w:left w:space="0" w:sz="0" w:val="nil"/>
          <w:bottom w:space="0" w:sz="0" w:val="nil"/>
          <w:right w:space="0" w:sz="0" w:val="nil"/>
          <w:between w:space="0" w:sz="0" w:val="nil"/>
        </w:pBdr>
        <w:tabs>
          <w:tab w:val="left" w:leader="none" w:pos="426"/>
        </w:tabs>
        <w:spacing w:before="1" w:lineRule="auto"/>
        <w:ind w:left="426" w:right="157" w:hanging="451"/>
        <w:jc w:val="both"/>
        <w:rPr>
          <w:rFonts w:ascii="Lato" w:cs="Lato" w:eastAsia="Lato" w:hAnsi="Lato"/>
          <w:sz w:val="20"/>
          <w:szCs w:val="20"/>
        </w:rPr>
      </w:pPr>
      <w:r w:rsidDel="00000000" w:rsidR="00000000" w:rsidRPr="00000000">
        <w:rPr>
          <w:rFonts w:ascii="Lato" w:cs="Lato" w:eastAsia="Lato" w:hAnsi="Lato"/>
          <w:color w:val="004481"/>
          <w:sz w:val="20"/>
          <w:szCs w:val="20"/>
          <w:rtl w:val="0"/>
        </w:rPr>
        <w:t xml:space="preserve">Agente colocador: las labores de agente colocador serán realizadas por el BBVA.</w:t>
      </w: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tabs>
          <w:tab w:val="left" w:leader="none" w:pos="376"/>
        </w:tabs>
        <w:spacing w:before="3" w:line="245" w:lineRule="auto"/>
        <w:ind w:left="100" w:right="157" w:firstLine="0"/>
        <w:jc w:val="both"/>
        <w:rPr>
          <w:rFonts w:ascii="Lato" w:cs="Lato" w:eastAsia="Lato" w:hAnsi="Lato"/>
          <w:color w:val="004481"/>
          <w:sz w:val="20"/>
          <w:szCs w:val="20"/>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tabs>
          <w:tab w:val="left" w:leader="none" w:pos="376"/>
        </w:tabs>
        <w:spacing w:before="3" w:line="245" w:lineRule="auto"/>
        <w:ind w:left="100" w:right="157" w:firstLine="0"/>
        <w:jc w:val="both"/>
        <w:rPr>
          <w:rFonts w:ascii="Lato" w:cs="Lato" w:eastAsia="Lato" w:hAnsi="Lato"/>
          <w:color w:val="004481"/>
          <w:sz w:val="20"/>
          <w:szCs w:val="20"/>
        </w:rPr>
      </w:pPr>
      <w:r w:rsidDel="00000000" w:rsidR="00000000" w:rsidRPr="00000000">
        <w:rPr>
          <w:rtl w:val="0"/>
        </w:rPr>
      </w:r>
    </w:p>
    <w:p w:rsidR="00000000" w:rsidDel="00000000" w:rsidP="00000000" w:rsidRDefault="00000000" w:rsidRPr="00000000" w14:paraId="000000D5">
      <w:pPr>
        <w:numPr>
          <w:ilvl w:val="0"/>
          <w:numId w:val="3"/>
        </w:numPr>
        <w:pBdr>
          <w:top w:space="0" w:sz="0" w:val="nil"/>
          <w:left w:space="0" w:sz="0" w:val="nil"/>
          <w:bottom w:space="0" w:sz="0" w:val="nil"/>
          <w:right w:space="0" w:sz="0" w:val="nil"/>
          <w:between w:space="0" w:sz="0" w:val="nil"/>
        </w:pBdr>
        <w:spacing w:before="13" w:lineRule="auto"/>
        <w:ind w:left="425.19685039370086" w:right="157" w:hanging="290.19685039370086"/>
        <w:rPr>
          <w:rFonts w:ascii="Lato" w:cs="Lato" w:eastAsia="Lato" w:hAnsi="Lato"/>
          <w:b w:val="1"/>
          <w:color w:val="02a5a5"/>
          <w:sz w:val="20"/>
          <w:szCs w:val="20"/>
        </w:rPr>
      </w:pPr>
      <w:r w:rsidDel="00000000" w:rsidR="00000000" w:rsidRPr="00000000">
        <w:rPr>
          <w:rFonts w:ascii="Lato" w:cs="Lato" w:eastAsia="Lato" w:hAnsi="Lato"/>
          <w:b w:val="1"/>
          <w:color w:val="02a5a5"/>
          <w:sz w:val="20"/>
          <w:szCs w:val="20"/>
          <w:rtl w:val="0"/>
        </w:rPr>
        <w:t xml:space="preserve">OTROS ASPECTOS RELEVANTES DEL FONDO</w:t>
      </w:r>
    </w:p>
    <w:p w:rsidR="00000000" w:rsidDel="00000000" w:rsidP="00000000" w:rsidRDefault="00000000" w:rsidRPr="00000000" w14:paraId="000000D6">
      <w:pPr>
        <w:spacing w:before="13" w:lineRule="auto"/>
        <w:ind w:right="157"/>
        <w:rPr>
          <w:rFonts w:ascii="Lato" w:cs="Lato" w:eastAsia="Lato" w:hAnsi="Lato"/>
          <w:color w:val="004481"/>
          <w:sz w:val="20"/>
          <w:szCs w:val="20"/>
        </w:rPr>
      </w:pPr>
      <w:r w:rsidDel="00000000" w:rsidR="00000000" w:rsidRPr="00000000">
        <w:rPr>
          <w:rtl w:val="0"/>
        </w:rPr>
      </w:r>
    </w:p>
    <w:p w:rsidR="00000000" w:rsidDel="00000000" w:rsidP="00000000" w:rsidRDefault="00000000" w:rsidRPr="00000000" w14:paraId="000000D7">
      <w:pPr>
        <w:numPr>
          <w:ilvl w:val="0"/>
          <w:numId w:val="7"/>
        </w:numPr>
        <w:pBdr>
          <w:top w:space="0" w:sz="0" w:val="nil"/>
          <w:left w:space="0" w:sz="0" w:val="nil"/>
          <w:bottom w:space="0" w:sz="0" w:val="nil"/>
          <w:right w:space="0" w:sz="0" w:val="nil"/>
          <w:between w:space="0" w:sz="0" w:val="nil"/>
        </w:pBdr>
        <w:ind w:left="284" w:right="157" w:hanging="284"/>
        <w:jc w:val="both"/>
        <w:rPr>
          <w:rFonts w:ascii="Lato" w:cs="Lato" w:eastAsia="Lato" w:hAnsi="Lato"/>
        </w:rPr>
      </w:pPr>
      <w:r w:rsidDel="00000000" w:rsidR="00000000" w:rsidRPr="00000000">
        <w:rPr>
          <w:rFonts w:ascii="Lato" w:cs="Lato" w:eastAsia="Lato" w:hAnsi="Lato"/>
          <w:color w:val="004481"/>
          <w:sz w:val="20"/>
          <w:szCs w:val="20"/>
          <w:rtl w:val="0"/>
        </w:rPr>
        <w:t xml:space="preserve">Los partícipes recibirán, en la oportunidad de emisión del Estado de Cuenta del mes en el que inició la etapa operativa, una comunicación donde se indique la fecha de inicio de la etapa operativa del fondo.</w:t>
      </w: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ind w:left="720" w:right="157" w:firstLine="0"/>
        <w:jc w:val="both"/>
        <w:rPr>
          <w:rFonts w:ascii="Lato" w:cs="Lato" w:eastAsia="Lato" w:hAnsi="Lato"/>
          <w:color w:val="004481"/>
          <w:sz w:val="20"/>
          <w:szCs w:val="20"/>
        </w:rPr>
      </w:pPr>
      <w:r w:rsidDel="00000000" w:rsidR="00000000" w:rsidRPr="00000000">
        <w:rPr>
          <w:rtl w:val="0"/>
        </w:rPr>
      </w:r>
    </w:p>
    <w:p w:rsidR="00000000" w:rsidDel="00000000" w:rsidP="00000000" w:rsidRDefault="00000000" w:rsidRPr="00000000" w14:paraId="000000D9">
      <w:pPr>
        <w:numPr>
          <w:ilvl w:val="0"/>
          <w:numId w:val="7"/>
        </w:numPr>
        <w:pBdr>
          <w:top w:space="0" w:sz="0" w:val="nil"/>
          <w:left w:space="0" w:sz="0" w:val="nil"/>
          <w:bottom w:space="0" w:sz="0" w:val="nil"/>
          <w:right w:space="0" w:sz="0" w:val="nil"/>
          <w:between w:space="0" w:sz="0" w:val="nil"/>
        </w:pBdr>
        <w:ind w:left="284" w:right="157" w:hanging="284"/>
        <w:jc w:val="both"/>
        <w:rPr>
          <w:rFonts w:ascii="Lato" w:cs="Lato" w:eastAsia="Lato" w:hAnsi="Lato"/>
        </w:rPr>
      </w:pPr>
      <w:r w:rsidDel="00000000" w:rsidR="00000000" w:rsidRPr="00000000">
        <w:rPr>
          <w:rFonts w:ascii="Lato" w:cs="Lato" w:eastAsia="Lato" w:hAnsi="Lato"/>
          <w:color w:val="004481"/>
          <w:sz w:val="20"/>
          <w:szCs w:val="20"/>
          <w:rtl w:val="0"/>
        </w:rPr>
        <w:t xml:space="preserve">Liquidación del Fondo: El Fondo entrará en proceso de liquidación en caso i) no llegue a recaudar un patrimonio mínimo total de US$ 5’000,000.00 durante la etapa pre-operativa, ii) Las condiciones de mercado no sean las propicias, como falta de liquidez y de emisores en el mercado, que no permitan implementar la estrategia del Fondo, o iii) a la fecha de vencimiento del mismo.</w:t>
      </w:r>
      <w:r w:rsidDel="00000000" w:rsidR="00000000" w:rsidRPr="00000000">
        <w:rPr>
          <w:rtl w:val="0"/>
        </w:rPr>
      </w:r>
    </w:p>
    <w:p w:rsidR="00000000" w:rsidDel="00000000" w:rsidP="00000000" w:rsidRDefault="00000000" w:rsidRPr="00000000" w14:paraId="000000DA">
      <w:pPr>
        <w:ind w:left="283" w:right="157" w:firstLine="0"/>
        <w:jc w:val="both"/>
        <w:rPr>
          <w:rFonts w:ascii="Lato" w:cs="Lato" w:eastAsia="Lato" w:hAnsi="Lato"/>
          <w:color w:val="004481"/>
          <w:sz w:val="20"/>
          <w:szCs w:val="20"/>
        </w:rPr>
      </w:pPr>
      <w:r w:rsidDel="00000000" w:rsidR="00000000" w:rsidRPr="00000000">
        <w:rPr>
          <w:rtl w:val="0"/>
        </w:rPr>
      </w:r>
    </w:p>
    <w:p w:rsidR="00000000" w:rsidDel="00000000" w:rsidP="00000000" w:rsidRDefault="00000000" w:rsidRPr="00000000" w14:paraId="000000DB">
      <w:pPr>
        <w:ind w:left="283" w:right="157" w:firstLine="0"/>
        <w:jc w:val="both"/>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El proceso de liquidación aplicable será el siguiente: </w:t>
      </w:r>
    </w:p>
    <w:p w:rsidR="00000000" w:rsidDel="00000000" w:rsidP="00000000" w:rsidRDefault="00000000" w:rsidRPr="00000000" w14:paraId="000000DC">
      <w:pPr>
        <w:ind w:left="283" w:right="157" w:firstLine="0"/>
        <w:jc w:val="both"/>
        <w:rPr>
          <w:rFonts w:ascii="Lato" w:cs="Lato" w:eastAsia="Lato" w:hAnsi="Lato"/>
          <w:color w:val="004481"/>
          <w:sz w:val="20"/>
          <w:szCs w:val="20"/>
        </w:rPr>
      </w:pPr>
      <w:r w:rsidDel="00000000" w:rsidR="00000000" w:rsidRPr="00000000">
        <w:rPr>
          <w:rtl w:val="0"/>
        </w:rPr>
      </w:r>
    </w:p>
    <w:p w:rsidR="00000000" w:rsidDel="00000000" w:rsidP="00000000" w:rsidRDefault="00000000" w:rsidRPr="00000000" w14:paraId="000000DD">
      <w:pPr>
        <w:ind w:left="283" w:right="157" w:firstLine="0"/>
        <w:jc w:val="both"/>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1. Se comunicará a los partícipes, por la vía estipulada en el contrato de administración, dentro de los diez (10) días útiles siguientes a la conclusión del período de colocación o del vencimiento del fondo, indicando fecha y motivos de la liquidación del fondo. </w:t>
      </w:r>
    </w:p>
    <w:p w:rsidR="00000000" w:rsidDel="00000000" w:rsidP="00000000" w:rsidRDefault="00000000" w:rsidRPr="00000000" w14:paraId="000000DE">
      <w:pPr>
        <w:ind w:left="283" w:right="157" w:firstLine="0"/>
        <w:jc w:val="both"/>
        <w:rPr>
          <w:rFonts w:ascii="Lato" w:cs="Lato" w:eastAsia="Lato" w:hAnsi="Lato"/>
          <w:color w:val="004481"/>
          <w:sz w:val="20"/>
          <w:szCs w:val="20"/>
        </w:rPr>
      </w:pPr>
      <w:r w:rsidDel="00000000" w:rsidR="00000000" w:rsidRPr="00000000">
        <w:rPr>
          <w:rtl w:val="0"/>
        </w:rPr>
      </w:r>
    </w:p>
    <w:p w:rsidR="00000000" w:rsidDel="00000000" w:rsidP="00000000" w:rsidRDefault="00000000" w:rsidRPr="00000000" w14:paraId="000000DF">
      <w:pPr>
        <w:ind w:left="283" w:right="157" w:firstLine="0"/>
        <w:jc w:val="both"/>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2. La redención de cuotas se realizará mediante abono en cuenta del partícipe (de acuerdo a lo indicado en el Contrato de Administración), la cual se efectuará dentro de los diez (10) días útiles siguientes ya sea la fecha de vencimiento de la etapa preoperativa para el caso del numeral 1 o a la fecha de vencimiento del fondo mutuo para el caso del numeral 2.</w:t>
      </w:r>
    </w:p>
    <w:p w:rsidR="00000000" w:rsidDel="00000000" w:rsidP="00000000" w:rsidRDefault="00000000" w:rsidRPr="00000000" w14:paraId="000000E0">
      <w:pPr>
        <w:ind w:left="283" w:right="157" w:firstLine="0"/>
        <w:jc w:val="both"/>
        <w:rPr>
          <w:rFonts w:ascii="Lato" w:cs="Lato" w:eastAsia="Lato" w:hAnsi="Lato"/>
          <w:color w:val="004481"/>
          <w:sz w:val="20"/>
          <w:szCs w:val="20"/>
        </w:rPr>
      </w:pPr>
      <w:r w:rsidDel="00000000" w:rsidR="00000000" w:rsidRPr="00000000">
        <w:rPr>
          <w:rtl w:val="0"/>
        </w:rPr>
      </w:r>
    </w:p>
    <w:p w:rsidR="00000000" w:rsidDel="00000000" w:rsidP="00000000" w:rsidRDefault="00000000" w:rsidRPr="00000000" w14:paraId="000000E1">
      <w:pPr>
        <w:ind w:left="283" w:right="157" w:firstLine="0"/>
        <w:jc w:val="both"/>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3.  En el supuesto que el valor cuota vigente al momento de la liquidación del fondo sea mayor al valor cuota inicial, por efecto de una variación en el precio de los instrumentos del fondo, se retendrá el impuesto a la ganancia de capital correspondiente.</w:t>
      </w:r>
    </w:p>
    <w:p w:rsidR="00000000" w:rsidDel="00000000" w:rsidP="00000000" w:rsidRDefault="00000000" w:rsidRPr="00000000" w14:paraId="000000E2">
      <w:pPr>
        <w:ind w:left="283" w:right="157" w:firstLine="0"/>
        <w:jc w:val="both"/>
        <w:rPr>
          <w:rFonts w:ascii="Lato" w:cs="Lato" w:eastAsia="Lato" w:hAnsi="Lato"/>
          <w:color w:val="004481"/>
          <w:sz w:val="20"/>
          <w:szCs w:val="20"/>
        </w:rPr>
      </w:pPr>
      <w:r w:rsidDel="00000000" w:rsidR="00000000" w:rsidRPr="00000000">
        <w:rPr>
          <w:rtl w:val="0"/>
        </w:rPr>
      </w:r>
    </w:p>
    <w:p w:rsidR="00000000" w:rsidDel="00000000" w:rsidP="00000000" w:rsidRDefault="00000000" w:rsidRPr="00000000" w14:paraId="000000E3">
      <w:pPr>
        <w:numPr>
          <w:ilvl w:val="0"/>
          <w:numId w:val="7"/>
        </w:numPr>
        <w:pBdr>
          <w:top w:space="0" w:sz="0" w:val="nil"/>
          <w:left w:space="0" w:sz="0" w:val="nil"/>
          <w:bottom w:space="0" w:sz="0" w:val="nil"/>
          <w:right w:space="0" w:sz="0" w:val="nil"/>
          <w:between w:space="0" w:sz="0" w:val="nil"/>
        </w:pBdr>
        <w:ind w:left="284" w:right="157" w:hanging="284"/>
        <w:jc w:val="both"/>
        <w:rPr>
          <w:rFonts w:ascii="Lato" w:cs="Lato" w:eastAsia="Lato" w:hAnsi="Lato"/>
        </w:rPr>
      </w:pPr>
      <w:r w:rsidDel="00000000" w:rsidR="00000000" w:rsidRPr="00000000">
        <w:rPr>
          <w:rFonts w:ascii="Lato" w:cs="Lato" w:eastAsia="Lato" w:hAnsi="Lato"/>
          <w:color w:val="004481"/>
          <w:sz w:val="20"/>
          <w:szCs w:val="20"/>
          <w:rtl w:val="0"/>
        </w:rPr>
        <w:t xml:space="preserve">Rescates programados obligatorios: no aplica.</w:t>
      </w: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left" w:leader="none" w:pos="1956"/>
        </w:tabs>
        <w:spacing w:before="13" w:line="235" w:lineRule="auto"/>
        <w:ind w:right="738"/>
        <w:rPr>
          <w:rFonts w:ascii="Lato" w:cs="Lato" w:eastAsia="Lato" w:hAnsi="Lato"/>
          <w:color w:val="004481"/>
          <w:sz w:val="20"/>
          <w:szCs w:val="20"/>
        </w:rPr>
      </w:pPr>
      <w:r w:rsidDel="00000000" w:rsidR="00000000" w:rsidRPr="00000000">
        <w:rPr>
          <w:rtl w:val="0"/>
        </w:rPr>
      </w:r>
    </w:p>
    <w:p w:rsidR="00000000" w:rsidDel="00000000" w:rsidP="00000000" w:rsidRDefault="00000000" w:rsidRPr="00000000" w14:paraId="000000E5">
      <w:pPr>
        <w:tabs>
          <w:tab w:val="left" w:leader="none" w:pos="1956"/>
        </w:tabs>
        <w:ind w:right="157"/>
        <w:jc w:val="both"/>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El Fondo también se liquidará en caso se verifique alguno de los supuestos contemplados en el Artículo 181 del Reglamento de Fondos.</w:t>
      </w:r>
    </w:p>
    <w:p w:rsidR="00000000" w:rsidDel="00000000" w:rsidP="00000000" w:rsidRDefault="00000000" w:rsidRPr="00000000" w14:paraId="000000E6">
      <w:pPr>
        <w:tabs>
          <w:tab w:val="left" w:leader="none" w:pos="1956"/>
        </w:tabs>
        <w:ind w:right="157"/>
        <w:jc w:val="both"/>
        <w:rPr>
          <w:rFonts w:ascii="Lato" w:cs="Lato" w:eastAsia="Lato" w:hAnsi="Lato"/>
          <w:color w:val="004481"/>
          <w:sz w:val="20"/>
          <w:szCs w:val="20"/>
        </w:rPr>
      </w:pPr>
      <w:r w:rsidDel="00000000" w:rsidR="00000000" w:rsidRPr="00000000">
        <w:rPr>
          <w:rtl w:val="0"/>
        </w:rPr>
      </w:r>
    </w:p>
    <w:p w:rsidR="00000000" w:rsidDel="00000000" w:rsidP="00000000" w:rsidRDefault="00000000" w:rsidRPr="00000000" w14:paraId="000000E7">
      <w:pPr>
        <w:tabs>
          <w:tab w:val="left" w:leader="none" w:pos="1956"/>
        </w:tabs>
        <w:ind w:right="157"/>
        <w:jc w:val="both"/>
        <w:rPr>
          <w:rFonts w:ascii="Lato" w:cs="Lato" w:eastAsia="Lato" w:hAnsi="Lato"/>
          <w:color w:val="004481"/>
          <w:sz w:val="20"/>
          <w:szCs w:val="20"/>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tabs>
          <w:tab w:val="left" w:leader="none" w:pos="1557"/>
        </w:tabs>
        <w:spacing w:line="235" w:lineRule="auto"/>
        <w:ind w:left="1556" w:right="738" w:firstLine="0"/>
        <w:rPr>
          <w:rFonts w:ascii="Lato" w:cs="Lato" w:eastAsia="Lato" w:hAnsi="Lato"/>
          <w:color w:val="004481"/>
          <w:sz w:val="20"/>
          <w:szCs w:val="20"/>
        </w:rPr>
      </w:pPr>
      <w:r w:rsidDel="00000000" w:rsidR="00000000" w:rsidRPr="00000000">
        <w:rPr>
          <w:rtl w:val="0"/>
        </w:rPr>
      </w:r>
    </w:p>
    <w:p w:rsidR="00000000" w:rsidDel="00000000" w:rsidP="00000000" w:rsidRDefault="00000000" w:rsidRPr="00000000" w14:paraId="000000E9">
      <w:pPr>
        <w:numPr>
          <w:ilvl w:val="0"/>
          <w:numId w:val="3"/>
        </w:numPr>
        <w:pBdr>
          <w:top w:space="0" w:sz="0" w:val="nil"/>
          <w:left w:space="0" w:sz="0" w:val="nil"/>
          <w:bottom w:space="0" w:sz="0" w:val="nil"/>
          <w:right w:space="0" w:sz="0" w:val="nil"/>
          <w:between w:space="0" w:sz="0" w:val="nil"/>
        </w:pBdr>
        <w:spacing w:before="13" w:lineRule="auto"/>
        <w:ind w:left="426" w:right="157" w:hanging="291"/>
        <w:rPr>
          <w:rFonts w:ascii="Lato" w:cs="Lato" w:eastAsia="Lato" w:hAnsi="Lato"/>
          <w:b w:val="1"/>
          <w:color w:val="02a5a5"/>
          <w:sz w:val="20"/>
          <w:szCs w:val="20"/>
        </w:rPr>
      </w:pPr>
      <w:r w:rsidDel="00000000" w:rsidR="00000000" w:rsidRPr="00000000">
        <w:rPr>
          <w:rFonts w:ascii="Lato" w:cs="Lato" w:eastAsia="Lato" w:hAnsi="Lato"/>
          <w:b w:val="1"/>
          <w:color w:val="02a5a5"/>
          <w:sz w:val="20"/>
          <w:szCs w:val="20"/>
          <w:rtl w:val="0"/>
        </w:rPr>
        <w:t xml:space="preserve">FACTORES DE RIESGO DE LAS INVERSIONES</w:t>
      </w:r>
    </w:p>
    <w:p w:rsidR="00000000" w:rsidDel="00000000" w:rsidP="00000000" w:rsidRDefault="00000000" w:rsidRPr="00000000" w14:paraId="000000EA">
      <w:pPr>
        <w:spacing w:before="13" w:lineRule="auto"/>
        <w:ind w:right="157"/>
        <w:rPr>
          <w:rFonts w:ascii="Lato" w:cs="Lato" w:eastAsia="Lato" w:hAnsi="Lato"/>
          <w:color w:val="004481"/>
          <w:sz w:val="20"/>
          <w:szCs w:val="20"/>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ind w:right="157"/>
        <w:jc w:val="both"/>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El valor de los instrumentos u operaciones financieras que componen la cartera de El FONDO está expuesto a las fluctuaciones de las condiciones del mercado y otros riesgos inherentes a las inversiones que pueden ocasionar que dicho valor disminuya y ello genere pérdidas a los partícipes del FONDO. Por lo tanto, el partícipe debe ser consciente que el valor de la cuota del FONDO puede fluctuar tanto al alza como a la baja. </w:t>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line="244" w:lineRule="auto"/>
        <w:ind w:right="157"/>
        <w:jc w:val="both"/>
        <w:rPr>
          <w:rFonts w:ascii="Lato" w:cs="Lato" w:eastAsia="Lato" w:hAnsi="Lato"/>
          <w:color w:val="004481"/>
          <w:sz w:val="20"/>
          <w:szCs w:val="20"/>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ind w:right="157"/>
        <w:rPr>
          <w:rFonts w:ascii="Lato" w:cs="Lato" w:eastAsia="Lato" w:hAnsi="Lato"/>
          <w:color w:val="004481"/>
          <w:sz w:val="20"/>
          <w:szCs w:val="20"/>
        </w:rPr>
      </w:pPr>
      <w:r w:rsidDel="00000000" w:rsidR="00000000" w:rsidRPr="00000000">
        <w:rPr>
          <w:rFonts w:ascii="Lato" w:cs="Lato" w:eastAsia="Lato" w:hAnsi="Lato"/>
          <w:color w:val="004481"/>
          <w:sz w:val="20"/>
          <w:szCs w:val="20"/>
          <w:rtl w:val="0"/>
        </w:rPr>
        <w:t xml:space="preserve">Principales riesgos inherentes a la inversión en el FONDO:</w:t>
      </w:r>
    </w:p>
    <w:p w:rsidR="00000000" w:rsidDel="00000000" w:rsidP="00000000" w:rsidRDefault="00000000" w:rsidRPr="00000000" w14:paraId="000000EE">
      <w:pPr>
        <w:spacing w:before="8" w:lineRule="auto"/>
        <w:ind w:right="157"/>
        <w:rPr>
          <w:rFonts w:ascii="Lato" w:cs="Lato" w:eastAsia="Lato" w:hAnsi="Lato"/>
          <w:color w:val="004481"/>
        </w:rPr>
      </w:pPr>
      <w:r w:rsidDel="00000000" w:rsidR="00000000" w:rsidRPr="00000000">
        <w:rPr>
          <w:rtl w:val="0"/>
        </w:rPr>
      </w:r>
    </w:p>
    <w:p w:rsidR="00000000" w:rsidDel="00000000" w:rsidP="00000000" w:rsidRDefault="00000000" w:rsidRPr="00000000" w14:paraId="000000EF">
      <w:pPr>
        <w:numPr>
          <w:ilvl w:val="0"/>
          <w:numId w:val="5"/>
        </w:numPr>
        <w:pBdr>
          <w:top w:space="0" w:sz="0" w:val="nil"/>
          <w:left w:space="0" w:sz="0" w:val="nil"/>
          <w:bottom w:space="0" w:sz="0" w:val="nil"/>
          <w:right w:space="0" w:sz="0" w:val="nil"/>
          <w:between w:space="0" w:sz="0" w:val="nil"/>
        </w:pBdr>
        <w:tabs>
          <w:tab w:val="left" w:leader="none" w:pos="451"/>
        </w:tabs>
        <w:spacing w:line="245" w:lineRule="auto"/>
        <w:ind w:left="284" w:right="157" w:hanging="284"/>
        <w:jc w:val="both"/>
        <w:rPr>
          <w:sz w:val="20"/>
          <w:szCs w:val="20"/>
          <w:highlight w:val="white"/>
        </w:rPr>
      </w:pPr>
      <w:r w:rsidDel="00000000" w:rsidR="00000000" w:rsidRPr="00000000">
        <w:rPr>
          <w:rFonts w:ascii="Lato" w:cs="Lato" w:eastAsia="Lato" w:hAnsi="Lato"/>
          <w:b w:val="1"/>
          <w:color w:val="004481"/>
          <w:sz w:val="20"/>
          <w:szCs w:val="20"/>
          <w:highlight w:val="white"/>
          <w:rtl w:val="0"/>
        </w:rPr>
        <w:t xml:space="preserve">Riesgo de tasa de interés: </w:t>
      </w:r>
      <w:r w:rsidDel="00000000" w:rsidR="00000000" w:rsidRPr="00000000">
        <w:rPr>
          <w:rFonts w:ascii="Lato" w:cs="Lato" w:eastAsia="Lato" w:hAnsi="Lato"/>
          <w:color w:val="004481"/>
          <w:sz w:val="20"/>
          <w:szCs w:val="20"/>
          <w:highlight w:val="white"/>
          <w:rtl w:val="0"/>
        </w:rPr>
        <w:t xml:space="preserve">Posibilidad de que disminuya el valor de las inversiones del FONDO, y, por consiguiente, el valor de cuota, como consecuencia de aumentos en las tasas de rendimiento de mercado, pudiendo ocasionar inclusive pérdidas. El impacto de las variaciones en las tasas de interés de mercado dependerá de las características del instrumento, de su plazo, de su categoría de riesgo, entre otras.</w:t>
      </w: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tabs>
          <w:tab w:val="left" w:leader="none" w:pos="451"/>
        </w:tabs>
        <w:spacing w:line="245" w:lineRule="auto"/>
        <w:ind w:left="284" w:right="157" w:firstLine="0"/>
        <w:jc w:val="both"/>
        <w:rPr>
          <w:rFonts w:ascii="Lato" w:cs="Lato" w:eastAsia="Lato" w:hAnsi="Lato"/>
          <w:color w:val="004481"/>
          <w:sz w:val="20"/>
          <w:szCs w:val="20"/>
          <w:highlight w:val="white"/>
        </w:rPr>
      </w:pPr>
      <w:r w:rsidDel="00000000" w:rsidR="00000000" w:rsidRPr="00000000">
        <w:rPr>
          <w:rtl w:val="0"/>
        </w:rPr>
      </w:r>
    </w:p>
    <w:p w:rsidR="00000000" w:rsidDel="00000000" w:rsidP="00000000" w:rsidRDefault="00000000" w:rsidRPr="00000000" w14:paraId="000000F1">
      <w:pPr>
        <w:numPr>
          <w:ilvl w:val="0"/>
          <w:numId w:val="5"/>
        </w:numPr>
        <w:pBdr>
          <w:top w:space="0" w:sz="0" w:val="nil"/>
          <w:left w:space="0" w:sz="0" w:val="nil"/>
          <w:bottom w:space="0" w:sz="0" w:val="nil"/>
          <w:right w:space="0" w:sz="0" w:val="nil"/>
          <w:between w:space="0" w:sz="0" w:val="nil"/>
        </w:pBdr>
        <w:tabs>
          <w:tab w:val="left" w:leader="none" w:pos="284"/>
        </w:tabs>
        <w:spacing w:line="245" w:lineRule="auto"/>
        <w:ind w:left="284" w:right="157" w:hanging="284"/>
        <w:jc w:val="both"/>
        <w:rPr>
          <w:sz w:val="20"/>
          <w:szCs w:val="20"/>
          <w:highlight w:val="white"/>
        </w:rPr>
      </w:pPr>
      <w:r w:rsidDel="00000000" w:rsidR="00000000" w:rsidRPr="00000000">
        <w:rPr>
          <w:rFonts w:ascii="Lato" w:cs="Lato" w:eastAsia="Lato" w:hAnsi="Lato"/>
          <w:b w:val="1"/>
          <w:color w:val="004481"/>
          <w:sz w:val="20"/>
          <w:szCs w:val="20"/>
          <w:highlight w:val="white"/>
          <w:rtl w:val="0"/>
        </w:rPr>
        <w:t xml:space="preserve">Riesgo de precio:</w:t>
      </w:r>
      <w:r w:rsidDel="00000000" w:rsidR="00000000" w:rsidRPr="00000000">
        <w:rPr>
          <w:rFonts w:ascii="Lato" w:cs="Lato" w:eastAsia="Lato" w:hAnsi="Lato"/>
          <w:b w:val="1"/>
          <w:color w:val="004481"/>
          <w:sz w:val="20"/>
          <w:szCs w:val="20"/>
          <w:rtl w:val="0"/>
        </w:rPr>
        <w:t xml:space="preserve"> </w:t>
      </w:r>
      <w:r w:rsidDel="00000000" w:rsidR="00000000" w:rsidRPr="00000000">
        <w:rPr>
          <w:rFonts w:ascii="Lato" w:cs="Lato" w:eastAsia="Lato" w:hAnsi="Lato"/>
          <w:color w:val="004481"/>
          <w:sz w:val="20"/>
          <w:szCs w:val="20"/>
          <w:highlight w:val="white"/>
          <w:rtl w:val="0"/>
        </w:rPr>
        <w:t xml:space="preserve">Posibilidad que disminuya el valor de las inversiones del FONDO, y por consiguiente el valor de cuota, como consecuencia de movimientos adversos de los precios de los valores representativos de capital, pudiendo ocasionar inclusive pérdidas. </w:t>
      </w: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tabs>
          <w:tab w:val="left" w:leader="none" w:pos="451"/>
        </w:tabs>
        <w:spacing w:line="245" w:lineRule="auto"/>
        <w:ind w:left="284" w:right="157" w:firstLine="0"/>
        <w:jc w:val="both"/>
        <w:rPr>
          <w:rFonts w:ascii="Lato" w:cs="Lato" w:eastAsia="Lato" w:hAnsi="Lato"/>
          <w:color w:val="004481"/>
          <w:sz w:val="20"/>
          <w:szCs w:val="20"/>
          <w:highlight w:val="white"/>
        </w:rPr>
      </w:pPr>
      <w:r w:rsidDel="00000000" w:rsidR="00000000" w:rsidRPr="00000000">
        <w:rPr>
          <w:rtl w:val="0"/>
        </w:rPr>
      </w:r>
    </w:p>
    <w:p w:rsidR="00000000" w:rsidDel="00000000" w:rsidP="00000000" w:rsidRDefault="00000000" w:rsidRPr="00000000" w14:paraId="000000F3">
      <w:pPr>
        <w:numPr>
          <w:ilvl w:val="0"/>
          <w:numId w:val="5"/>
        </w:numPr>
        <w:pBdr>
          <w:top w:space="0" w:sz="0" w:val="nil"/>
          <w:left w:space="0" w:sz="0" w:val="nil"/>
          <w:bottom w:space="0" w:sz="0" w:val="nil"/>
          <w:right w:space="0" w:sz="0" w:val="nil"/>
          <w:between w:space="0" w:sz="0" w:val="nil"/>
        </w:pBdr>
        <w:tabs>
          <w:tab w:val="left" w:leader="none" w:pos="451"/>
        </w:tabs>
        <w:spacing w:line="245" w:lineRule="auto"/>
        <w:ind w:left="284" w:right="157" w:hanging="284"/>
        <w:jc w:val="both"/>
        <w:rPr>
          <w:sz w:val="20"/>
          <w:szCs w:val="20"/>
          <w:highlight w:val="white"/>
        </w:rPr>
      </w:pPr>
      <w:r w:rsidDel="00000000" w:rsidR="00000000" w:rsidRPr="00000000">
        <w:rPr>
          <w:rFonts w:ascii="Lato" w:cs="Lato" w:eastAsia="Lato" w:hAnsi="Lato"/>
          <w:b w:val="1"/>
          <w:color w:val="004481"/>
          <w:sz w:val="20"/>
          <w:szCs w:val="20"/>
          <w:highlight w:val="white"/>
          <w:rtl w:val="0"/>
        </w:rPr>
        <w:t xml:space="preserve">Riesgo cambiario: </w:t>
      </w:r>
      <w:r w:rsidDel="00000000" w:rsidR="00000000" w:rsidRPr="00000000">
        <w:rPr>
          <w:rFonts w:ascii="Lato" w:cs="Lato" w:eastAsia="Lato" w:hAnsi="Lato"/>
          <w:color w:val="004481"/>
          <w:sz w:val="20"/>
          <w:szCs w:val="20"/>
          <w:highlight w:val="white"/>
          <w:rtl w:val="0"/>
        </w:rPr>
        <w:t xml:space="preserve">Posibilidad de que disminuya el valor de las inversiones del FONDO, y, por consiguiente, el valor de cuota, como consecuencia de la disminución en el valor de la moneda en que se efectúan las inversiones del fondo respecto de otra moneda en la cual invierte la Administradora los recursos del FONDO.</w:t>
      </w: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tabs>
          <w:tab w:val="left" w:leader="none" w:pos="451"/>
        </w:tabs>
        <w:spacing w:line="245" w:lineRule="auto"/>
        <w:ind w:left="284" w:right="157" w:firstLine="0"/>
        <w:jc w:val="both"/>
        <w:rPr>
          <w:rFonts w:ascii="Lato" w:cs="Lato" w:eastAsia="Lato" w:hAnsi="Lato"/>
          <w:color w:val="004481"/>
          <w:sz w:val="20"/>
          <w:szCs w:val="20"/>
          <w:highlight w:val="white"/>
        </w:rPr>
      </w:pPr>
      <w:r w:rsidDel="00000000" w:rsidR="00000000" w:rsidRPr="00000000">
        <w:rPr>
          <w:rtl w:val="0"/>
        </w:rPr>
      </w:r>
    </w:p>
    <w:p w:rsidR="00000000" w:rsidDel="00000000" w:rsidP="00000000" w:rsidRDefault="00000000" w:rsidRPr="00000000" w14:paraId="000000F5">
      <w:pPr>
        <w:numPr>
          <w:ilvl w:val="0"/>
          <w:numId w:val="5"/>
        </w:numPr>
        <w:pBdr>
          <w:top w:space="0" w:sz="0" w:val="nil"/>
          <w:left w:space="0" w:sz="0" w:val="nil"/>
          <w:bottom w:space="0" w:sz="0" w:val="nil"/>
          <w:right w:space="0" w:sz="0" w:val="nil"/>
          <w:between w:space="0" w:sz="0" w:val="nil"/>
        </w:pBdr>
        <w:tabs>
          <w:tab w:val="left" w:leader="none" w:pos="451"/>
        </w:tabs>
        <w:spacing w:line="245" w:lineRule="auto"/>
        <w:ind w:left="284" w:right="114" w:hanging="284"/>
        <w:jc w:val="both"/>
        <w:rPr>
          <w:sz w:val="20"/>
          <w:szCs w:val="20"/>
          <w:highlight w:val="white"/>
        </w:rPr>
      </w:pPr>
      <w:r w:rsidDel="00000000" w:rsidR="00000000" w:rsidRPr="00000000">
        <w:rPr>
          <w:rFonts w:ascii="Lato" w:cs="Lato" w:eastAsia="Lato" w:hAnsi="Lato"/>
          <w:b w:val="1"/>
          <w:color w:val="004481"/>
          <w:sz w:val="20"/>
          <w:szCs w:val="20"/>
          <w:highlight w:val="white"/>
          <w:rtl w:val="0"/>
        </w:rPr>
        <w:t xml:space="preserve">Riesgo de liquidez de la cartera:</w:t>
      </w:r>
      <w:r w:rsidDel="00000000" w:rsidR="00000000" w:rsidRPr="00000000">
        <w:rPr>
          <w:rFonts w:ascii="Lato" w:cs="Lato" w:eastAsia="Lato" w:hAnsi="Lato"/>
          <w:color w:val="004481"/>
          <w:sz w:val="20"/>
          <w:szCs w:val="20"/>
          <w:highlight w:val="white"/>
          <w:rtl w:val="0"/>
        </w:rPr>
        <w:t xml:space="preserve"> Dificultad para vender instrumentos componentes de la cartera del FONDO en la oportunidad solicitada por la Administradora, lo cual podría ocasionar problemas en el pago de los rescates o en el precio de venta.</w:t>
      </w: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tabs>
          <w:tab w:val="left" w:leader="none" w:pos="451"/>
        </w:tabs>
        <w:spacing w:line="245" w:lineRule="auto"/>
        <w:ind w:right="114"/>
        <w:jc w:val="both"/>
        <w:rPr>
          <w:rFonts w:ascii="Lato" w:cs="Lato" w:eastAsia="Lato" w:hAnsi="Lato"/>
          <w:color w:val="004481"/>
          <w:sz w:val="20"/>
          <w:szCs w:val="20"/>
          <w:highlight w:val="white"/>
        </w:rPr>
      </w:pPr>
      <w:r w:rsidDel="00000000" w:rsidR="00000000" w:rsidRPr="00000000">
        <w:rPr>
          <w:rtl w:val="0"/>
        </w:rPr>
      </w:r>
    </w:p>
    <w:p w:rsidR="00000000" w:rsidDel="00000000" w:rsidP="00000000" w:rsidRDefault="00000000" w:rsidRPr="00000000" w14:paraId="000000F7">
      <w:pPr>
        <w:numPr>
          <w:ilvl w:val="0"/>
          <w:numId w:val="5"/>
        </w:numPr>
        <w:pBdr>
          <w:top w:space="0" w:sz="0" w:val="nil"/>
          <w:left w:space="0" w:sz="0" w:val="nil"/>
          <w:bottom w:space="0" w:sz="0" w:val="nil"/>
          <w:right w:space="0" w:sz="0" w:val="nil"/>
          <w:between w:space="0" w:sz="0" w:val="nil"/>
        </w:pBdr>
        <w:tabs>
          <w:tab w:val="left" w:leader="none" w:pos="451"/>
        </w:tabs>
        <w:spacing w:line="245" w:lineRule="auto"/>
        <w:ind w:left="284" w:right="114" w:hanging="284"/>
        <w:jc w:val="both"/>
        <w:rPr>
          <w:sz w:val="20"/>
          <w:szCs w:val="20"/>
          <w:highlight w:val="white"/>
        </w:rPr>
      </w:pPr>
      <w:r w:rsidDel="00000000" w:rsidR="00000000" w:rsidRPr="00000000">
        <w:rPr>
          <w:rFonts w:ascii="Lato" w:cs="Lato" w:eastAsia="Lato" w:hAnsi="Lato"/>
          <w:b w:val="1"/>
          <w:color w:val="004481"/>
          <w:sz w:val="20"/>
          <w:szCs w:val="20"/>
          <w:highlight w:val="white"/>
          <w:rtl w:val="0"/>
        </w:rPr>
        <w:t xml:space="preserve">Riesgo país: </w:t>
      </w:r>
      <w:r w:rsidDel="00000000" w:rsidR="00000000" w:rsidRPr="00000000">
        <w:rPr>
          <w:rFonts w:ascii="Lato" w:cs="Lato" w:eastAsia="Lato" w:hAnsi="Lato"/>
          <w:color w:val="004481"/>
          <w:sz w:val="20"/>
          <w:szCs w:val="20"/>
          <w:highlight w:val="white"/>
          <w:rtl w:val="0"/>
        </w:rPr>
        <w:t xml:space="preserve">Posibles disminuciones en el valor de las inversiones del FONDO, y en el valor cuota como consecuencia de cambios en la coyuntura económica, financiera, jurídica y política del país en que se invierte, pudiendo ocasionar pérdidas de capital.</w:t>
      </w: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tabs>
          <w:tab w:val="left" w:leader="none" w:pos="451"/>
        </w:tabs>
        <w:spacing w:line="245" w:lineRule="auto"/>
        <w:ind w:right="114"/>
        <w:jc w:val="both"/>
        <w:rPr>
          <w:rFonts w:ascii="Lato" w:cs="Lato" w:eastAsia="Lato" w:hAnsi="Lato"/>
          <w:color w:val="004481"/>
          <w:sz w:val="20"/>
          <w:szCs w:val="20"/>
          <w:highlight w:val="white"/>
        </w:rPr>
      </w:pPr>
      <w:r w:rsidDel="00000000" w:rsidR="00000000" w:rsidRPr="00000000">
        <w:rPr>
          <w:rtl w:val="0"/>
        </w:rPr>
      </w:r>
    </w:p>
    <w:p w:rsidR="00000000" w:rsidDel="00000000" w:rsidP="00000000" w:rsidRDefault="00000000" w:rsidRPr="00000000" w14:paraId="000000F9">
      <w:pPr>
        <w:numPr>
          <w:ilvl w:val="0"/>
          <w:numId w:val="5"/>
        </w:numPr>
        <w:pBdr>
          <w:top w:space="0" w:sz="0" w:val="nil"/>
          <w:left w:space="0" w:sz="0" w:val="nil"/>
          <w:bottom w:space="0" w:sz="0" w:val="nil"/>
          <w:right w:space="0" w:sz="0" w:val="nil"/>
          <w:between w:space="0" w:sz="0" w:val="nil"/>
        </w:pBdr>
        <w:tabs>
          <w:tab w:val="left" w:leader="none" w:pos="451"/>
        </w:tabs>
        <w:spacing w:line="245" w:lineRule="auto"/>
        <w:ind w:left="284" w:right="114" w:hanging="284"/>
        <w:jc w:val="both"/>
        <w:rPr>
          <w:sz w:val="20"/>
          <w:szCs w:val="20"/>
          <w:highlight w:val="white"/>
        </w:rPr>
      </w:pPr>
      <w:r w:rsidDel="00000000" w:rsidR="00000000" w:rsidRPr="00000000">
        <w:rPr>
          <w:rFonts w:ascii="Lato" w:cs="Lato" w:eastAsia="Lato" w:hAnsi="Lato"/>
          <w:b w:val="1"/>
          <w:color w:val="004481"/>
          <w:sz w:val="20"/>
          <w:szCs w:val="20"/>
          <w:highlight w:val="white"/>
          <w:rtl w:val="0"/>
        </w:rPr>
        <w:t xml:space="preserve">Riesgo sectorial: </w:t>
      </w:r>
      <w:r w:rsidDel="00000000" w:rsidR="00000000" w:rsidRPr="00000000">
        <w:rPr>
          <w:rFonts w:ascii="Lato" w:cs="Lato" w:eastAsia="Lato" w:hAnsi="Lato"/>
          <w:color w:val="004481"/>
          <w:sz w:val="20"/>
          <w:szCs w:val="20"/>
          <w:highlight w:val="white"/>
          <w:rtl w:val="0"/>
        </w:rPr>
        <w:t xml:space="preserve"> Posibles reducciones en el valor de las inversiones derivadas de un comportamiento desfavorable del sector económico y de producción, al cual pertenece la empresa emisora del instrumento financiero que conforma la cartera del fondo mutuo.</w:t>
      </w: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tabs>
          <w:tab w:val="left" w:leader="none" w:pos="451"/>
        </w:tabs>
        <w:spacing w:line="245" w:lineRule="auto"/>
        <w:ind w:right="114"/>
        <w:jc w:val="both"/>
        <w:rPr>
          <w:rFonts w:ascii="Lato" w:cs="Lato" w:eastAsia="Lato" w:hAnsi="Lato"/>
          <w:color w:val="004481"/>
          <w:sz w:val="20"/>
          <w:szCs w:val="20"/>
          <w:highlight w:val="white"/>
        </w:rPr>
      </w:pPr>
      <w:r w:rsidDel="00000000" w:rsidR="00000000" w:rsidRPr="00000000">
        <w:rPr>
          <w:rtl w:val="0"/>
        </w:rPr>
      </w:r>
    </w:p>
    <w:p w:rsidR="00000000" w:rsidDel="00000000" w:rsidP="00000000" w:rsidRDefault="00000000" w:rsidRPr="00000000" w14:paraId="000000FB">
      <w:pPr>
        <w:numPr>
          <w:ilvl w:val="0"/>
          <w:numId w:val="5"/>
        </w:numPr>
        <w:pBdr>
          <w:top w:space="0" w:sz="0" w:val="nil"/>
          <w:left w:space="0" w:sz="0" w:val="nil"/>
          <w:bottom w:space="0" w:sz="0" w:val="nil"/>
          <w:right w:space="0" w:sz="0" w:val="nil"/>
          <w:between w:space="0" w:sz="0" w:val="nil"/>
        </w:pBdr>
        <w:tabs>
          <w:tab w:val="left" w:leader="none" w:pos="451"/>
        </w:tabs>
        <w:spacing w:line="245" w:lineRule="auto"/>
        <w:ind w:left="284" w:right="114" w:hanging="284"/>
        <w:jc w:val="both"/>
        <w:rPr>
          <w:sz w:val="20"/>
          <w:szCs w:val="20"/>
          <w:highlight w:val="white"/>
        </w:rPr>
      </w:pPr>
      <w:r w:rsidDel="00000000" w:rsidR="00000000" w:rsidRPr="00000000">
        <w:rPr>
          <w:rFonts w:ascii="Lato" w:cs="Lato" w:eastAsia="Lato" w:hAnsi="Lato"/>
          <w:b w:val="1"/>
          <w:color w:val="004481"/>
          <w:sz w:val="20"/>
          <w:szCs w:val="20"/>
          <w:highlight w:val="white"/>
          <w:rtl w:val="0"/>
        </w:rPr>
        <w:t xml:space="preserve">Riesgo emisor: </w:t>
      </w:r>
      <w:r w:rsidDel="00000000" w:rsidR="00000000" w:rsidRPr="00000000">
        <w:rPr>
          <w:rFonts w:ascii="Lato" w:cs="Lato" w:eastAsia="Lato" w:hAnsi="Lato"/>
          <w:color w:val="004481"/>
          <w:sz w:val="20"/>
          <w:szCs w:val="20"/>
          <w:highlight w:val="white"/>
          <w:rtl w:val="0"/>
        </w:rPr>
        <w:t xml:space="preserve">Posible disminución en el valor de las inversiones derivado de factores que afecten la capacidad del emisor para cumplir con sus compromisos de pagar intereses o reembolsar del principal en las oportunidades previstas.</w:t>
      </w: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tabs>
          <w:tab w:val="left" w:leader="none" w:pos="451"/>
        </w:tabs>
        <w:spacing w:line="245" w:lineRule="auto"/>
        <w:ind w:left="284" w:right="114" w:firstLine="0"/>
        <w:jc w:val="both"/>
        <w:rPr>
          <w:rFonts w:ascii="Lato" w:cs="Lato" w:eastAsia="Lato" w:hAnsi="Lato"/>
          <w:color w:val="004481"/>
          <w:sz w:val="20"/>
          <w:szCs w:val="20"/>
          <w:highlight w:val="white"/>
        </w:rPr>
      </w:pPr>
      <w:r w:rsidDel="00000000" w:rsidR="00000000" w:rsidRPr="00000000">
        <w:rPr>
          <w:rtl w:val="0"/>
        </w:rPr>
      </w:r>
    </w:p>
    <w:p w:rsidR="00000000" w:rsidDel="00000000" w:rsidP="00000000" w:rsidRDefault="00000000" w:rsidRPr="00000000" w14:paraId="000000FD">
      <w:pPr>
        <w:numPr>
          <w:ilvl w:val="0"/>
          <w:numId w:val="5"/>
        </w:numPr>
        <w:pBdr>
          <w:top w:space="0" w:sz="0" w:val="nil"/>
          <w:left w:space="0" w:sz="0" w:val="nil"/>
          <w:bottom w:space="0" w:sz="0" w:val="nil"/>
          <w:right w:space="0" w:sz="0" w:val="nil"/>
          <w:between w:space="0" w:sz="0" w:val="nil"/>
        </w:pBdr>
        <w:tabs>
          <w:tab w:val="left" w:leader="none" w:pos="451"/>
        </w:tabs>
        <w:spacing w:line="245" w:lineRule="auto"/>
        <w:ind w:left="284" w:right="114" w:hanging="284"/>
        <w:jc w:val="both"/>
        <w:rPr>
          <w:sz w:val="20"/>
          <w:szCs w:val="20"/>
          <w:highlight w:val="white"/>
        </w:rPr>
      </w:pPr>
      <w:r w:rsidDel="00000000" w:rsidR="00000000" w:rsidRPr="00000000">
        <w:rPr>
          <w:rFonts w:ascii="Lato" w:cs="Lato" w:eastAsia="Lato" w:hAnsi="Lato"/>
          <w:b w:val="1"/>
          <w:color w:val="004481"/>
          <w:sz w:val="20"/>
          <w:szCs w:val="20"/>
          <w:highlight w:val="white"/>
          <w:rtl w:val="0"/>
        </w:rPr>
        <w:t xml:space="preserve">Riesgo de reinversión: </w:t>
      </w:r>
      <w:r w:rsidDel="00000000" w:rsidR="00000000" w:rsidRPr="00000000">
        <w:rPr>
          <w:rFonts w:ascii="Lato" w:cs="Lato" w:eastAsia="Lato" w:hAnsi="Lato"/>
          <w:color w:val="004481"/>
          <w:sz w:val="20"/>
          <w:szCs w:val="20"/>
          <w:highlight w:val="white"/>
          <w:rtl w:val="0"/>
        </w:rPr>
        <w:t xml:space="preserve">Posibilidad que los rendimientos de las nuevas inversiones del FONDO provenientes del efectivo que es reinvertido no sea la misma como consecuencia de la variación de las tasas de rendimiento de mercado, lo que podría ocasionar una disminución de la rentabilidad del FONDO.</w:t>
      </w: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tabs>
          <w:tab w:val="left" w:leader="none" w:pos="451"/>
        </w:tabs>
        <w:spacing w:line="245" w:lineRule="auto"/>
        <w:ind w:right="114"/>
        <w:jc w:val="both"/>
        <w:rPr>
          <w:rFonts w:ascii="Lato" w:cs="Lato" w:eastAsia="Lato" w:hAnsi="Lato"/>
          <w:color w:val="004481"/>
          <w:sz w:val="20"/>
          <w:szCs w:val="20"/>
          <w:highlight w:val="white"/>
        </w:rPr>
      </w:pPr>
      <w:r w:rsidDel="00000000" w:rsidR="00000000" w:rsidRPr="00000000">
        <w:rPr>
          <w:rtl w:val="0"/>
        </w:rPr>
      </w:r>
    </w:p>
    <w:p w:rsidR="00000000" w:rsidDel="00000000" w:rsidP="00000000" w:rsidRDefault="00000000" w:rsidRPr="00000000" w14:paraId="000000FF">
      <w:pPr>
        <w:numPr>
          <w:ilvl w:val="0"/>
          <w:numId w:val="5"/>
        </w:numPr>
        <w:pBdr>
          <w:top w:space="0" w:sz="0" w:val="nil"/>
          <w:left w:space="0" w:sz="0" w:val="nil"/>
          <w:bottom w:space="0" w:sz="0" w:val="nil"/>
          <w:right w:space="0" w:sz="0" w:val="nil"/>
          <w:between w:space="0" w:sz="0" w:val="nil"/>
        </w:pBdr>
        <w:tabs>
          <w:tab w:val="left" w:leader="none" w:pos="451"/>
        </w:tabs>
        <w:spacing w:line="245" w:lineRule="auto"/>
        <w:ind w:left="284" w:right="114" w:hanging="284"/>
        <w:jc w:val="both"/>
        <w:rPr>
          <w:sz w:val="20"/>
          <w:szCs w:val="20"/>
          <w:highlight w:val="white"/>
        </w:rPr>
      </w:pPr>
      <w:r w:rsidDel="00000000" w:rsidR="00000000" w:rsidRPr="00000000">
        <w:rPr>
          <w:rFonts w:ascii="Lato" w:cs="Lato" w:eastAsia="Lato" w:hAnsi="Lato"/>
          <w:b w:val="1"/>
          <w:color w:val="004481"/>
          <w:sz w:val="20"/>
          <w:szCs w:val="20"/>
          <w:highlight w:val="white"/>
          <w:rtl w:val="0"/>
        </w:rPr>
        <w:t xml:space="preserve">Riesgo de contraparte: </w:t>
      </w:r>
      <w:r w:rsidDel="00000000" w:rsidR="00000000" w:rsidRPr="00000000">
        <w:rPr>
          <w:rFonts w:ascii="Lato" w:cs="Lato" w:eastAsia="Lato" w:hAnsi="Lato"/>
          <w:color w:val="004481"/>
          <w:sz w:val="20"/>
          <w:szCs w:val="20"/>
          <w:highlight w:val="white"/>
          <w:rtl w:val="0"/>
        </w:rPr>
        <w:t xml:space="preserve">Posibilidad que la contraparte de una operación incumpla su obligación de entregar el dinero o los valores, o no lo entreguen oportunamente, ocasionando pérdidas o disminución de la rentabilidad del FONDO.</w:t>
      </w: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tabs>
          <w:tab w:val="left" w:leader="none" w:pos="451"/>
        </w:tabs>
        <w:spacing w:line="245" w:lineRule="auto"/>
        <w:ind w:left="451" w:right="114" w:firstLine="0"/>
        <w:jc w:val="both"/>
        <w:rPr>
          <w:rFonts w:ascii="Lato" w:cs="Lato" w:eastAsia="Lato" w:hAnsi="Lato"/>
          <w:color w:val="004481"/>
          <w:sz w:val="20"/>
          <w:szCs w:val="20"/>
          <w:highlight w:val="white"/>
        </w:rPr>
      </w:pPr>
      <w:r w:rsidDel="00000000" w:rsidR="00000000" w:rsidRPr="00000000">
        <w:rPr>
          <w:rtl w:val="0"/>
        </w:rPr>
      </w:r>
    </w:p>
    <w:p w:rsidR="00000000" w:rsidDel="00000000" w:rsidP="00000000" w:rsidRDefault="00000000" w:rsidRPr="00000000" w14:paraId="00000101">
      <w:pPr>
        <w:numPr>
          <w:ilvl w:val="0"/>
          <w:numId w:val="5"/>
        </w:numPr>
        <w:pBdr>
          <w:top w:space="0" w:sz="0" w:val="nil"/>
          <w:left w:space="0" w:sz="0" w:val="nil"/>
          <w:bottom w:space="0" w:sz="0" w:val="nil"/>
          <w:right w:space="0" w:sz="0" w:val="nil"/>
          <w:between w:space="0" w:sz="0" w:val="nil"/>
        </w:pBdr>
        <w:tabs>
          <w:tab w:val="left" w:leader="none" w:pos="450"/>
        </w:tabs>
        <w:spacing w:line="245" w:lineRule="auto"/>
        <w:ind w:left="285" w:right="114" w:hanging="420"/>
        <w:jc w:val="both"/>
        <w:rPr>
          <w:sz w:val="20"/>
          <w:szCs w:val="20"/>
          <w:highlight w:val="white"/>
        </w:rPr>
      </w:pPr>
      <w:r w:rsidDel="00000000" w:rsidR="00000000" w:rsidRPr="00000000">
        <w:rPr>
          <w:rFonts w:ascii="Lato" w:cs="Lato" w:eastAsia="Lato" w:hAnsi="Lato"/>
          <w:b w:val="1"/>
          <w:color w:val="004481"/>
          <w:sz w:val="20"/>
          <w:szCs w:val="20"/>
          <w:highlight w:val="white"/>
          <w:rtl w:val="0"/>
        </w:rPr>
        <w:t xml:space="preserve">Riesgo tributario:</w:t>
      </w:r>
      <w:r w:rsidDel="00000000" w:rsidR="00000000" w:rsidRPr="00000000">
        <w:rPr>
          <w:rFonts w:ascii="Lato" w:cs="Lato" w:eastAsia="Lato" w:hAnsi="Lato"/>
          <w:color w:val="004481"/>
          <w:sz w:val="20"/>
          <w:szCs w:val="20"/>
          <w:highlight w:val="white"/>
          <w:rtl w:val="0"/>
        </w:rPr>
        <w:t xml:space="preserve"> Posibilidad de disminuciones en el valor de las inversiones del FONDO proveniente de modificaciones al régimen tributario que les es aplicable.</w:t>
      </w: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tabs>
          <w:tab w:val="left" w:leader="none" w:pos="450"/>
        </w:tabs>
        <w:spacing w:line="245" w:lineRule="auto"/>
        <w:ind w:left="285" w:right="114" w:hanging="420"/>
        <w:jc w:val="both"/>
        <w:rPr>
          <w:rFonts w:ascii="Lato" w:cs="Lato" w:eastAsia="Lato" w:hAnsi="Lato"/>
          <w:color w:val="004481"/>
          <w:sz w:val="20"/>
          <w:szCs w:val="20"/>
          <w:highlight w:val="white"/>
        </w:rPr>
      </w:pPr>
      <w:r w:rsidDel="00000000" w:rsidR="00000000" w:rsidRPr="00000000">
        <w:rPr>
          <w:rtl w:val="0"/>
        </w:rPr>
      </w:r>
    </w:p>
    <w:p w:rsidR="00000000" w:rsidDel="00000000" w:rsidP="00000000" w:rsidRDefault="00000000" w:rsidRPr="00000000" w14:paraId="00000103">
      <w:pPr>
        <w:numPr>
          <w:ilvl w:val="0"/>
          <w:numId w:val="5"/>
        </w:numPr>
        <w:pBdr>
          <w:top w:space="0" w:sz="0" w:val="nil"/>
          <w:left w:space="0" w:sz="0" w:val="nil"/>
          <w:bottom w:space="0" w:sz="0" w:val="nil"/>
          <w:right w:space="0" w:sz="0" w:val="nil"/>
          <w:between w:space="0" w:sz="0" w:val="nil"/>
        </w:pBdr>
        <w:tabs>
          <w:tab w:val="left" w:leader="none" w:pos="450"/>
        </w:tabs>
        <w:spacing w:line="245" w:lineRule="auto"/>
        <w:ind w:left="285" w:right="114" w:hanging="420"/>
        <w:jc w:val="both"/>
        <w:rPr>
          <w:sz w:val="20"/>
          <w:szCs w:val="20"/>
          <w:highlight w:val="white"/>
        </w:rPr>
      </w:pPr>
      <w:r w:rsidDel="00000000" w:rsidR="00000000" w:rsidRPr="00000000">
        <w:rPr>
          <w:rFonts w:ascii="Lato" w:cs="Lato" w:eastAsia="Lato" w:hAnsi="Lato"/>
          <w:b w:val="1"/>
          <w:color w:val="004481"/>
          <w:sz w:val="20"/>
          <w:szCs w:val="20"/>
          <w:highlight w:val="white"/>
          <w:rtl w:val="0"/>
        </w:rPr>
        <w:t xml:space="preserve">Riesgo de excesos de inversión o inversiones no permitidas: </w:t>
      </w:r>
      <w:r w:rsidDel="00000000" w:rsidR="00000000" w:rsidRPr="00000000">
        <w:rPr>
          <w:rFonts w:ascii="Lato" w:cs="Lato" w:eastAsia="Lato" w:hAnsi="Lato"/>
          <w:color w:val="004481"/>
          <w:sz w:val="20"/>
          <w:szCs w:val="20"/>
          <w:highlight w:val="white"/>
          <w:rtl w:val="0"/>
        </w:rPr>
        <w:t xml:space="preserve">Posibilidad que la Administradora mantenga inversiones que no cumplen la política de inversión y puedan acarrear un riesgo del portafolio distinto al adquirido.</w:t>
      </w:r>
      <w:r w:rsidDel="00000000" w:rsidR="00000000" w:rsidRPr="00000000">
        <w:rPr>
          <w:rtl w:val="0"/>
        </w:rPr>
      </w:r>
    </w:p>
    <w:sectPr>
      <w:headerReference r:id="rId8" w:type="default"/>
      <w:pgSz w:h="16840" w:w="11900" w:orient="portrait"/>
      <w:pgMar w:bottom="1170" w:top="1135" w:left="1260" w:right="98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Times New Roman"/>
  <w:font w:name="Courier New"/>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04">
      <w:pPr>
        <w:rPr>
          <w:rFonts w:ascii="Arial" w:cs="Arial" w:eastAsia="Arial" w:hAnsi="Arial"/>
          <w:color w:val="004481"/>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color w:val="004481"/>
          <w:sz w:val="16"/>
          <w:szCs w:val="16"/>
          <w:rtl w:val="0"/>
        </w:rPr>
        <w:t xml:space="preserve"> Las cuotas existentes al inicio de la etapa operativa del fondo, se definen como el número total  de cuotas de participación en circulación  registradas por el fondo  al cierre del primer día de haber iniciado su etapa operativa.</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5">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-400039</wp:posOffset>
          </wp:positionH>
          <wp:positionV relativeFrom="paragraph">
            <wp:posOffset>-304791</wp:posOffset>
          </wp:positionV>
          <wp:extent cx="1968500" cy="552450"/>
          <wp:effectExtent b="0" l="0" r="0" t="0"/>
          <wp:wrapSquare wrapText="bothSides" distB="0" distT="0" distL="114300" distR="114300"/>
          <wp:docPr id="1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68500" cy="5524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sz w:val="20"/>
        <w:szCs w:val="20"/>
        <w:vertAlign w:val="superscript"/>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451" w:hanging="351"/>
      </w:pPr>
      <w:rPr>
        <w:rFonts w:ascii="Arial" w:cs="Arial" w:eastAsia="Arial" w:hAnsi="Arial"/>
        <w:color w:val="02a5a5"/>
        <w:sz w:val="21"/>
        <w:szCs w:val="21"/>
      </w:rPr>
    </w:lvl>
    <w:lvl w:ilvl="1">
      <w:start w:val="1"/>
      <w:numFmt w:val="bullet"/>
      <w:lvlText w:val="•"/>
      <w:lvlJc w:val="left"/>
      <w:pPr>
        <w:ind w:left="451" w:hanging="351"/>
      </w:pPr>
      <w:rPr/>
    </w:lvl>
    <w:lvl w:ilvl="2">
      <w:start w:val="1"/>
      <w:numFmt w:val="bullet"/>
      <w:lvlText w:val="•"/>
      <w:lvlJc w:val="left"/>
      <w:pPr>
        <w:ind w:left="1472" w:hanging="351"/>
      </w:pPr>
      <w:rPr/>
    </w:lvl>
    <w:lvl w:ilvl="3">
      <w:start w:val="1"/>
      <w:numFmt w:val="bullet"/>
      <w:lvlText w:val="•"/>
      <w:lvlJc w:val="left"/>
      <w:pPr>
        <w:ind w:left="2493" w:hanging="351"/>
      </w:pPr>
      <w:rPr/>
    </w:lvl>
    <w:lvl w:ilvl="4">
      <w:start w:val="1"/>
      <w:numFmt w:val="bullet"/>
      <w:lvlText w:val="•"/>
      <w:lvlJc w:val="left"/>
      <w:pPr>
        <w:ind w:left="3514" w:hanging="351.00000000000045"/>
      </w:pPr>
      <w:rPr/>
    </w:lvl>
    <w:lvl w:ilvl="5">
      <w:start w:val="1"/>
      <w:numFmt w:val="bullet"/>
      <w:lvlText w:val="•"/>
      <w:lvlJc w:val="left"/>
      <w:pPr>
        <w:ind w:left="4535" w:hanging="351"/>
      </w:pPr>
      <w:rPr/>
    </w:lvl>
    <w:lvl w:ilvl="6">
      <w:start w:val="1"/>
      <w:numFmt w:val="bullet"/>
      <w:lvlText w:val="•"/>
      <w:lvlJc w:val="left"/>
      <w:pPr>
        <w:ind w:left="5556" w:hanging="351"/>
      </w:pPr>
      <w:rPr/>
    </w:lvl>
    <w:lvl w:ilvl="7">
      <w:start w:val="1"/>
      <w:numFmt w:val="bullet"/>
      <w:lvlText w:val="•"/>
      <w:lvlJc w:val="left"/>
      <w:pPr>
        <w:ind w:left="6577" w:hanging="351"/>
      </w:pPr>
      <w:rPr/>
    </w:lvl>
    <w:lvl w:ilvl="8">
      <w:start w:val="1"/>
      <w:numFmt w:val="bullet"/>
      <w:lvlText w:val="•"/>
      <w:lvlJc w:val="left"/>
      <w:pPr>
        <w:ind w:left="7598" w:hanging="351.0000000000018"/>
      </w:pPr>
      <w:rPr/>
    </w:lvl>
  </w:abstractNum>
  <w:abstractNum w:abstractNumId="3">
    <w:lvl w:ilvl="0">
      <w:start w:val="1"/>
      <w:numFmt w:val="decimal"/>
      <w:lvlText w:val="%1."/>
      <w:lvlJc w:val="right"/>
      <w:pPr>
        <w:ind w:left="820" w:hanging="685"/>
      </w:pPr>
      <w:rPr/>
    </w:lvl>
    <w:lvl w:ilvl="1">
      <w:start w:val="1"/>
      <w:numFmt w:val="decimal"/>
      <w:lvlText w:val="%1.%2."/>
      <w:lvlJc w:val="right"/>
      <w:pPr>
        <w:ind w:left="1540" w:hanging="1114"/>
      </w:pPr>
      <w:rPr>
        <w:rFonts w:ascii="Arial" w:cs="Arial" w:eastAsia="Arial" w:hAnsi="Arial"/>
        <w:b w:val="1"/>
      </w:rPr>
    </w:lvl>
    <w:lvl w:ilvl="2">
      <w:start w:val="1"/>
      <w:numFmt w:val="decimal"/>
      <w:lvlText w:val="%1.%2.%3."/>
      <w:lvlJc w:val="right"/>
      <w:pPr>
        <w:ind w:left="2260" w:hanging="180"/>
      </w:pPr>
      <w:rPr/>
    </w:lvl>
    <w:lvl w:ilvl="3">
      <w:start w:val="1"/>
      <w:numFmt w:val="decimal"/>
      <w:lvlText w:val="%1.%2.%3.%4."/>
      <w:lvlJc w:val="right"/>
      <w:pPr>
        <w:ind w:left="2980" w:hanging="360"/>
      </w:pPr>
      <w:rPr/>
    </w:lvl>
    <w:lvl w:ilvl="4">
      <w:start w:val="1"/>
      <w:numFmt w:val="decimal"/>
      <w:lvlText w:val="%1.%2.%3.%4.%5."/>
      <w:lvlJc w:val="right"/>
      <w:pPr>
        <w:ind w:left="3700" w:hanging="360"/>
      </w:pPr>
      <w:rPr/>
    </w:lvl>
    <w:lvl w:ilvl="5">
      <w:start w:val="1"/>
      <w:numFmt w:val="decimal"/>
      <w:lvlText w:val="%1.%2.%3.%4.%5.%6."/>
      <w:lvlJc w:val="right"/>
      <w:pPr>
        <w:ind w:left="4420" w:hanging="180"/>
      </w:pPr>
      <w:rPr/>
    </w:lvl>
    <w:lvl w:ilvl="6">
      <w:start w:val="1"/>
      <w:numFmt w:val="decimal"/>
      <w:lvlText w:val="%1.%2.%3.%4.%5.%6.%7."/>
      <w:lvlJc w:val="right"/>
      <w:pPr>
        <w:ind w:left="5140" w:hanging="360"/>
      </w:pPr>
      <w:rPr/>
    </w:lvl>
    <w:lvl w:ilvl="7">
      <w:start w:val="1"/>
      <w:numFmt w:val="decimal"/>
      <w:lvlText w:val="%1.%2.%3.%4.%5.%6.%7.%8."/>
      <w:lvlJc w:val="right"/>
      <w:pPr>
        <w:ind w:left="5860" w:hanging="360"/>
      </w:pPr>
      <w:rPr/>
    </w:lvl>
    <w:lvl w:ilvl="8">
      <w:start w:val="1"/>
      <w:numFmt w:val="decimal"/>
      <w:lvlText w:val="%1.%2.%3.%4.%5.%6.%7.%8.%9."/>
      <w:lvlJc w:val="right"/>
      <w:pPr>
        <w:ind w:left="6580" w:hanging="180"/>
      </w:pPr>
      <w:rPr/>
    </w:lvl>
  </w:abstractNum>
  <w:abstractNum w:abstractNumId="4">
    <w:lvl w:ilvl="0">
      <w:start w:val="1"/>
      <w:numFmt w:val="decimal"/>
      <w:lvlText w:val="%1."/>
      <w:lvlJc w:val="left"/>
      <w:pPr>
        <w:ind w:left="820" w:hanging="360"/>
      </w:pPr>
      <w:rPr/>
    </w:lvl>
    <w:lvl w:ilvl="1">
      <w:start w:val="1"/>
      <w:numFmt w:val="decimal"/>
      <w:lvlText w:val="1.%2"/>
      <w:lvlJc w:val="left"/>
      <w:pPr>
        <w:ind w:left="1540" w:hanging="360"/>
      </w:pPr>
      <w:rPr/>
    </w:lvl>
    <w:lvl w:ilvl="2">
      <w:start w:val="1"/>
      <w:numFmt w:val="decimal"/>
      <w:lvlText w:val="1.2.%3"/>
      <w:lvlJc w:val="right"/>
      <w:pPr>
        <w:ind w:left="2260" w:hanging="180"/>
      </w:pPr>
      <w:rPr/>
    </w:lvl>
    <w:lvl w:ilvl="3">
      <w:start w:val="1"/>
      <w:numFmt w:val="decimal"/>
      <w:lvlText w:val="%4."/>
      <w:lvlJc w:val="left"/>
      <w:pPr>
        <w:ind w:left="2980" w:hanging="360"/>
      </w:pPr>
      <w:rPr/>
    </w:lvl>
    <w:lvl w:ilvl="4">
      <w:start w:val="1"/>
      <w:numFmt w:val="lowerLetter"/>
      <w:lvlText w:val="%5."/>
      <w:lvlJc w:val="left"/>
      <w:pPr>
        <w:ind w:left="3700" w:hanging="360"/>
      </w:pPr>
      <w:rPr/>
    </w:lvl>
    <w:lvl w:ilvl="5">
      <w:start w:val="1"/>
      <w:numFmt w:val="lowerRoman"/>
      <w:lvlText w:val="%6."/>
      <w:lvlJc w:val="right"/>
      <w:pPr>
        <w:ind w:left="4420" w:hanging="180"/>
      </w:pPr>
      <w:rPr/>
    </w:lvl>
    <w:lvl w:ilvl="6">
      <w:start w:val="1"/>
      <w:numFmt w:val="decimal"/>
      <w:lvlText w:val="%7."/>
      <w:lvlJc w:val="left"/>
      <w:pPr>
        <w:ind w:left="5140" w:hanging="360"/>
      </w:pPr>
      <w:rPr/>
    </w:lvl>
    <w:lvl w:ilvl="7">
      <w:start w:val="1"/>
      <w:numFmt w:val="lowerLetter"/>
      <w:lvlText w:val="%8."/>
      <w:lvlJc w:val="left"/>
      <w:pPr>
        <w:ind w:left="5860" w:hanging="360"/>
      </w:pPr>
      <w:rPr/>
    </w:lvl>
    <w:lvl w:ilvl="8">
      <w:start w:val="1"/>
      <w:numFmt w:val="lowerRoman"/>
      <w:lvlText w:val="%9."/>
      <w:lvlJc w:val="right"/>
      <w:pPr>
        <w:ind w:left="6580" w:hanging="180"/>
      </w:pPr>
      <w:rPr/>
    </w:lvl>
  </w:abstractNum>
  <w:abstractNum w:abstractNumId="5">
    <w:lvl w:ilvl="0">
      <w:start w:val="1"/>
      <w:numFmt w:val="decimal"/>
      <w:lvlText w:val="%1)"/>
      <w:lvlJc w:val="left"/>
      <w:pPr>
        <w:ind w:left="451" w:hanging="351"/>
      </w:pPr>
      <w:rPr>
        <w:rFonts w:ascii="Lato" w:cs="Lato" w:eastAsia="Lato" w:hAnsi="Lato"/>
        <w:b w:val="0"/>
        <w:color w:val="02a5a5"/>
        <w:sz w:val="21"/>
        <w:szCs w:val="21"/>
      </w:rPr>
    </w:lvl>
    <w:lvl w:ilvl="1">
      <w:start w:val="1"/>
      <w:numFmt w:val="bullet"/>
      <w:lvlText w:val="•"/>
      <w:lvlJc w:val="left"/>
      <w:pPr>
        <w:ind w:left="1370" w:hanging="351"/>
      </w:pPr>
      <w:rPr/>
    </w:lvl>
    <w:lvl w:ilvl="2">
      <w:start w:val="1"/>
      <w:numFmt w:val="bullet"/>
      <w:lvlText w:val="•"/>
      <w:lvlJc w:val="left"/>
      <w:pPr>
        <w:ind w:left="2288" w:hanging="350"/>
      </w:pPr>
      <w:rPr/>
    </w:lvl>
    <w:lvl w:ilvl="3">
      <w:start w:val="1"/>
      <w:numFmt w:val="bullet"/>
      <w:lvlText w:val="•"/>
      <w:lvlJc w:val="left"/>
      <w:pPr>
        <w:ind w:left="3207" w:hanging="351.00000000000045"/>
      </w:pPr>
      <w:rPr/>
    </w:lvl>
    <w:lvl w:ilvl="4">
      <w:start w:val="1"/>
      <w:numFmt w:val="bullet"/>
      <w:lvlText w:val="•"/>
      <w:lvlJc w:val="left"/>
      <w:pPr>
        <w:ind w:left="4126" w:hanging="351"/>
      </w:pPr>
      <w:rPr/>
    </w:lvl>
    <w:lvl w:ilvl="5">
      <w:start w:val="1"/>
      <w:numFmt w:val="bullet"/>
      <w:lvlText w:val="•"/>
      <w:lvlJc w:val="left"/>
      <w:pPr>
        <w:ind w:left="5045" w:hanging="351"/>
      </w:pPr>
      <w:rPr/>
    </w:lvl>
    <w:lvl w:ilvl="6">
      <w:start w:val="1"/>
      <w:numFmt w:val="bullet"/>
      <w:lvlText w:val="•"/>
      <w:lvlJc w:val="left"/>
      <w:pPr>
        <w:ind w:left="5964" w:hanging="351"/>
      </w:pPr>
      <w:rPr/>
    </w:lvl>
    <w:lvl w:ilvl="7">
      <w:start w:val="1"/>
      <w:numFmt w:val="bullet"/>
      <w:lvlText w:val="•"/>
      <w:lvlJc w:val="left"/>
      <w:pPr>
        <w:ind w:left="6883" w:hanging="351.0000000000018"/>
      </w:pPr>
      <w:rPr/>
    </w:lvl>
    <w:lvl w:ilvl="8">
      <w:start w:val="1"/>
      <w:numFmt w:val="bullet"/>
      <w:lvlText w:val="•"/>
      <w:lvlJc w:val="left"/>
      <w:pPr>
        <w:ind w:left="7802" w:hanging="351"/>
      </w:pPr>
      <w:rPr/>
    </w:lvl>
  </w:abstractNum>
  <w:abstractNum w:abstractNumId="6">
    <w:lvl w:ilvl="0">
      <w:start w:val="1"/>
      <w:numFmt w:val="lowerLetter"/>
      <w:lvlText w:val="%1)"/>
      <w:lvlJc w:val="left"/>
      <w:pPr>
        <w:ind w:left="352" w:hanging="251"/>
      </w:pPr>
      <w:rPr>
        <w:rFonts w:ascii="Arial" w:cs="Arial" w:eastAsia="Arial" w:hAnsi="Arial"/>
        <w:color w:val="02a5a5"/>
        <w:sz w:val="21"/>
        <w:szCs w:val="21"/>
      </w:rPr>
    </w:lvl>
    <w:lvl w:ilvl="1">
      <w:start w:val="1"/>
      <w:numFmt w:val="bullet"/>
      <w:lvlText w:val="•"/>
      <w:lvlJc w:val="left"/>
      <w:pPr>
        <w:ind w:left="1281" w:hanging="252"/>
      </w:pPr>
      <w:rPr/>
    </w:lvl>
    <w:lvl w:ilvl="2">
      <w:start w:val="1"/>
      <w:numFmt w:val="bullet"/>
      <w:lvlText w:val="•"/>
      <w:lvlJc w:val="left"/>
      <w:pPr>
        <w:ind w:left="2210" w:hanging="252"/>
      </w:pPr>
      <w:rPr/>
    </w:lvl>
    <w:lvl w:ilvl="3">
      <w:start w:val="1"/>
      <w:numFmt w:val="bullet"/>
      <w:lvlText w:val="•"/>
      <w:lvlJc w:val="left"/>
      <w:pPr>
        <w:ind w:left="3138" w:hanging="252"/>
      </w:pPr>
      <w:rPr/>
    </w:lvl>
    <w:lvl w:ilvl="4">
      <w:start w:val="1"/>
      <w:numFmt w:val="bullet"/>
      <w:lvlText w:val="•"/>
      <w:lvlJc w:val="left"/>
      <w:pPr>
        <w:ind w:left="4067" w:hanging="252"/>
      </w:pPr>
      <w:rPr/>
    </w:lvl>
    <w:lvl w:ilvl="5">
      <w:start w:val="1"/>
      <w:numFmt w:val="bullet"/>
      <w:lvlText w:val="•"/>
      <w:lvlJc w:val="left"/>
      <w:pPr>
        <w:ind w:left="4996" w:hanging="252"/>
      </w:pPr>
      <w:rPr/>
    </w:lvl>
    <w:lvl w:ilvl="6">
      <w:start w:val="1"/>
      <w:numFmt w:val="bullet"/>
      <w:lvlText w:val="•"/>
      <w:lvlJc w:val="left"/>
      <w:pPr>
        <w:ind w:left="5925" w:hanging="252"/>
      </w:pPr>
      <w:rPr/>
    </w:lvl>
    <w:lvl w:ilvl="7">
      <w:start w:val="1"/>
      <w:numFmt w:val="bullet"/>
      <w:lvlText w:val="•"/>
      <w:lvlJc w:val="left"/>
      <w:pPr>
        <w:ind w:left="6853" w:hanging="252.0000000000009"/>
      </w:pPr>
      <w:rPr/>
    </w:lvl>
    <w:lvl w:ilvl="8">
      <w:start w:val="1"/>
      <w:numFmt w:val="bullet"/>
      <w:lvlText w:val="•"/>
      <w:lvlJc w:val="left"/>
      <w:pPr>
        <w:ind w:left="7782" w:hanging="252"/>
      </w:pPr>
      <w:rPr/>
    </w:lvl>
  </w:abstractNum>
  <w:abstractNum w:abstractNumId="7">
    <w:lvl w:ilvl="0">
      <w:start w:val="1"/>
      <w:numFmt w:val="lowerLetter"/>
      <w:lvlText w:val="%1)"/>
      <w:lvlJc w:val="left"/>
      <w:pPr>
        <w:ind w:left="720" w:hanging="360"/>
      </w:pPr>
      <w:rPr>
        <w:rFonts w:ascii="Arial" w:cs="Arial" w:eastAsia="Arial" w:hAnsi="Arial"/>
        <w:color w:val="02a5a5"/>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502" w:hanging="360"/>
      </w:pPr>
      <w:rPr>
        <w:rFonts w:ascii="Times New Roman" w:cs="Times New Roman" w:eastAsia="Times New Roman" w:hAnsi="Times New Roman"/>
        <w:sz w:val="21"/>
        <w:szCs w:val="21"/>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w:cs="Noto Sans" w:eastAsia="Noto Sans" w:hAnsi="Noto Sans"/>
      </w:rPr>
    </w:lvl>
    <w:lvl w:ilvl="3">
      <w:start w:val="1"/>
      <w:numFmt w:val="bullet"/>
      <w:lvlText w:val="●"/>
      <w:lvlJc w:val="left"/>
      <w:pPr>
        <w:ind w:left="2662" w:hanging="360"/>
      </w:pPr>
      <w:rPr>
        <w:rFonts w:ascii="Noto Sans" w:cs="Noto Sans" w:eastAsia="Noto Sans" w:hAnsi="Noto San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w:cs="Noto Sans" w:eastAsia="Noto Sans" w:hAnsi="Noto Sans"/>
      </w:rPr>
    </w:lvl>
    <w:lvl w:ilvl="6">
      <w:start w:val="1"/>
      <w:numFmt w:val="bullet"/>
      <w:lvlText w:val="●"/>
      <w:lvlJc w:val="left"/>
      <w:pPr>
        <w:ind w:left="4822" w:hanging="360"/>
      </w:pPr>
      <w:rPr>
        <w:rFonts w:ascii="Noto Sans" w:cs="Noto Sans" w:eastAsia="Noto Sans" w:hAnsi="Noto San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w:cs="Noto Sans" w:eastAsia="Noto Sans" w:hAnsi="Noto Sans"/>
      </w:rPr>
    </w:lvl>
  </w:abstractNum>
  <w:abstractNum w:abstractNumId="9">
    <w:lvl w:ilvl="0">
      <w:start w:val="1"/>
      <w:numFmt w:val="bullet"/>
      <w:lvlText w:val="-"/>
      <w:lvlJc w:val="left"/>
      <w:pPr>
        <w:ind w:left="961" w:hanging="360"/>
      </w:pPr>
      <w:rPr>
        <w:rFonts w:ascii="Times New Roman" w:cs="Times New Roman" w:eastAsia="Times New Roman" w:hAnsi="Times New Roman"/>
        <w:sz w:val="21"/>
        <w:szCs w:val="21"/>
      </w:rPr>
    </w:lvl>
    <w:lvl w:ilvl="1">
      <w:start w:val="1"/>
      <w:numFmt w:val="bullet"/>
      <w:lvlText w:val="o"/>
      <w:lvlJc w:val="left"/>
      <w:pPr>
        <w:ind w:left="1681" w:hanging="360"/>
      </w:pPr>
      <w:rPr>
        <w:rFonts w:ascii="Courier New" w:cs="Courier New" w:eastAsia="Courier New" w:hAnsi="Courier New"/>
      </w:rPr>
    </w:lvl>
    <w:lvl w:ilvl="2">
      <w:start w:val="1"/>
      <w:numFmt w:val="bullet"/>
      <w:lvlText w:val="▪"/>
      <w:lvlJc w:val="left"/>
      <w:pPr>
        <w:ind w:left="2401" w:hanging="360"/>
      </w:pPr>
      <w:rPr>
        <w:rFonts w:ascii="Noto Sans" w:cs="Noto Sans" w:eastAsia="Noto Sans" w:hAnsi="Noto Sans"/>
      </w:rPr>
    </w:lvl>
    <w:lvl w:ilvl="3">
      <w:start w:val="1"/>
      <w:numFmt w:val="bullet"/>
      <w:lvlText w:val="●"/>
      <w:lvlJc w:val="left"/>
      <w:pPr>
        <w:ind w:left="3121" w:hanging="360"/>
      </w:pPr>
      <w:rPr>
        <w:rFonts w:ascii="Noto Sans" w:cs="Noto Sans" w:eastAsia="Noto Sans" w:hAnsi="Noto Sans"/>
      </w:rPr>
    </w:lvl>
    <w:lvl w:ilvl="4">
      <w:start w:val="1"/>
      <w:numFmt w:val="bullet"/>
      <w:lvlText w:val="o"/>
      <w:lvlJc w:val="left"/>
      <w:pPr>
        <w:ind w:left="3841" w:hanging="360"/>
      </w:pPr>
      <w:rPr>
        <w:rFonts w:ascii="Courier New" w:cs="Courier New" w:eastAsia="Courier New" w:hAnsi="Courier New"/>
      </w:rPr>
    </w:lvl>
    <w:lvl w:ilvl="5">
      <w:start w:val="1"/>
      <w:numFmt w:val="bullet"/>
      <w:lvlText w:val="▪"/>
      <w:lvlJc w:val="left"/>
      <w:pPr>
        <w:ind w:left="4561" w:hanging="360"/>
      </w:pPr>
      <w:rPr>
        <w:rFonts w:ascii="Noto Sans" w:cs="Noto Sans" w:eastAsia="Noto Sans" w:hAnsi="Noto Sans"/>
      </w:rPr>
    </w:lvl>
    <w:lvl w:ilvl="6">
      <w:start w:val="1"/>
      <w:numFmt w:val="bullet"/>
      <w:lvlText w:val="●"/>
      <w:lvlJc w:val="left"/>
      <w:pPr>
        <w:ind w:left="5281" w:hanging="360"/>
      </w:pPr>
      <w:rPr>
        <w:rFonts w:ascii="Noto Sans" w:cs="Noto Sans" w:eastAsia="Noto Sans" w:hAnsi="Noto Sans"/>
      </w:rPr>
    </w:lvl>
    <w:lvl w:ilvl="7">
      <w:start w:val="1"/>
      <w:numFmt w:val="bullet"/>
      <w:lvlText w:val="o"/>
      <w:lvlJc w:val="left"/>
      <w:pPr>
        <w:ind w:left="6001" w:hanging="360"/>
      </w:pPr>
      <w:rPr>
        <w:rFonts w:ascii="Courier New" w:cs="Courier New" w:eastAsia="Courier New" w:hAnsi="Courier New"/>
      </w:rPr>
    </w:lvl>
    <w:lvl w:ilvl="8">
      <w:start w:val="1"/>
      <w:numFmt w:val="bullet"/>
      <w:lvlText w:val="▪"/>
      <w:lvlJc w:val="left"/>
      <w:pPr>
        <w:ind w:left="6721" w:hanging="360"/>
      </w:pPr>
      <w:rPr>
        <w:rFonts w:ascii="Noto Sans" w:cs="Noto Sans" w:eastAsia="Noto Sans" w:hAnsi="Noto Sans"/>
      </w:rPr>
    </w:lvl>
  </w:abstractNum>
  <w:abstractNum w:abstractNumId="10">
    <w:lvl w:ilvl="0">
      <w:start w:val="1"/>
      <w:numFmt w:val="decimal"/>
      <w:lvlText w:val="%1."/>
      <w:lvlJc w:val="left"/>
      <w:pPr>
        <w:ind w:left="820" w:hanging="360"/>
      </w:pPr>
      <w:rPr/>
    </w:lvl>
    <w:lvl w:ilvl="1">
      <w:start w:val="1"/>
      <w:numFmt w:val="decimal"/>
      <w:lvlText w:val="2.%2"/>
      <w:lvlJc w:val="left"/>
      <w:pPr>
        <w:ind w:left="1540" w:hanging="360"/>
      </w:pPr>
      <w:rPr/>
    </w:lvl>
    <w:lvl w:ilvl="2">
      <w:start w:val="1"/>
      <w:numFmt w:val="decimal"/>
      <w:lvlText w:val="1.1.1"/>
      <w:lvlJc w:val="right"/>
      <w:pPr>
        <w:ind w:left="2260" w:hanging="180"/>
      </w:pPr>
      <w:rPr/>
    </w:lvl>
    <w:lvl w:ilvl="3">
      <w:start w:val="1"/>
      <w:numFmt w:val="decimal"/>
      <w:lvlText w:val="%4."/>
      <w:lvlJc w:val="left"/>
      <w:pPr>
        <w:ind w:left="2980" w:hanging="360"/>
      </w:pPr>
      <w:rPr/>
    </w:lvl>
    <w:lvl w:ilvl="4">
      <w:start w:val="1"/>
      <w:numFmt w:val="lowerLetter"/>
      <w:lvlText w:val="%5."/>
      <w:lvlJc w:val="left"/>
      <w:pPr>
        <w:ind w:left="3700" w:hanging="360"/>
      </w:pPr>
      <w:rPr/>
    </w:lvl>
    <w:lvl w:ilvl="5">
      <w:start w:val="1"/>
      <w:numFmt w:val="lowerRoman"/>
      <w:lvlText w:val="%6."/>
      <w:lvlJc w:val="right"/>
      <w:pPr>
        <w:ind w:left="4420" w:hanging="180"/>
      </w:pPr>
      <w:rPr/>
    </w:lvl>
    <w:lvl w:ilvl="6">
      <w:start w:val="1"/>
      <w:numFmt w:val="decimal"/>
      <w:lvlText w:val="%7."/>
      <w:lvlJc w:val="left"/>
      <w:pPr>
        <w:ind w:left="5140" w:hanging="360"/>
      </w:pPr>
      <w:rPr/>
    </w:lvl>
    <w:lvl w:ilvl="7">
      <w:start w:val="1"/>
      <w:numFmt w:val="lowerLetter"/>
      <w:lvlText w:val="%8."/>
      <w:lvlJc w:val="left"/>
      <w:pPr>
        <w:ind w:left="5860" w:hanging="360"/>
      </w:pPr>
      <w:rPr/>
    </w:lvl>
    <w:lvl w:ilvl="8">
      <w:start w:val="1"/>
      <w:numFmt w:val="lowerRoman"/>
      <w:lvlText w:val="%9."/>
      <w:lvlJc w:val="right"/>
      <w:pPr>
        <w:ind w:left="65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PE"/>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00" w:hanging="358"/>
    </w:pPr>
    <w:rPr>
      <w:rFonts w:ascii="Arial" w:cs="Arial" w:eastAsia="Arial" w:hAnsi="Arial"/>
      <w:b w:val="1"/>
      <w:sz w:val="21"/>
      <w:szCs w:val="2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ind w:left="100" w:hanging="358"/>
    </w:pPr>
    <w:rPr>
      <w:rFonts w:ascii="Arial" w:cs="Arial" w:eastAsia="Arial" w:hAnsi="Arial"/>
      <w:b w:val="1"/>
      <w:sz w:val="21"/>
      <w:szCs w:val="2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ind w:left="100" w:hanging="358"/>
    </w:pPr>
    <w:rPr>
      <w:rFonts w:ascii="Arial" w:cs="Arial" w:eastAsia="Arial" w:hAnsi="Arial"/>
      <w:b w:val="1"/>
      <w:sz w:val="21"/>
      <w:szCs w:val="2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ind w:left="100" w:hanging="358"/>
    </w:pPr>
    <w:rPr>
      <w:rFonts w:ascii="Arial" w:cs="Arial" w:eastAsia="Arial" w:hAnsi="Arial"/>
      <w:b w:val="1"/>
      <w:sz w:val="21"/>
      <w:szCs w:val="2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ind w:left="100" w:hanging="358"/>
    </w:pPr>
    <w:rPr>
      <w:rFonts w:ascii="Arial" w:cs="Arial" w:eastAsia="Arial" w:hAnsi="Arial"/>
      <w:b w:val="1"/>
      <w:sz w:val="21"/>
      <w:szCs w:val="2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ind w:left="100" w:hanging="358"/>
    </w:pPr>
    <w:rPr>
      <w:rFonts w:ascii="Arial" w:cs="Arial" w:eastAsia="Arial" w:hAnsi="Arial"/>
      <w:b w:val="1"/>
      <w:sz w:val="21"/>
      <w:szCs w:val="2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uiPriority w:val="1"/>
    <w:qFormat w:val="1"/>
  </w:style>
  <w:style w:type="paragraph" w:styleId="Ttulo1">
    <w:name w:val="heading 1"/>
    <w:basedOn w:val="Normal"/>
    <w:uiPriority w:val="1"/>
    <w:qFormat w:val="1"/>
    <w:pPr>
      <w:ind w:left="100" w:hanging="358"/>
      <w:outlineLvl w:val="0"/>
    </w:pPr>
    <w:rPr>
      <w:rFonts w:ascii="Arial" w:eastAsia="Arial" w:hAnsi="Arial"/>
      <w:b w:val="1"/>
      <w:bCs w:val="1"/>
      <w:sz w:val="21"/>
      <w:szCs w:val="21"/>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10" w:customStyle="1">
    <w:name w:val="Table Normal1"/>
    <w:uiPriority w:val="2"/>
    <w:semiHidden w:val="1"/>
    <w:unhideWhenUsed w:val="1"/>
    <w:qFormat w:val="1"/>
    <w:tblPr>
      <w:tblInd w:w="0.0" w:type="dxa"/>
      <w:tblCellMar>
        <w:top w:w="0.0" w:type="dxa"/>
        <w:left w:w="0.0" w:type="dxa"/>
        <w:bottom w:w="0.0" w:type="dxa"/>
        <w:right w:w="0.0" w:type="dxa"/>
      </w:tblCellMar>
    </w:tblPr>
  </w:style>
  <w:style w:type="paragraph" w:styleId="Textoindependiente">
    <w:name w:val="Body Text"/>
    <w:basedOn w:val="Normal"/>
    <w:link w:val="TextoindependienteCar"/>
    <w:uiPriority w:val="1"/>
    <w:qFormat w:val="1"/>
    <w:pPr>
      <w:ind w:left="100"/>
    </w:pPr>
    <w:rPr>
      <w:rFonts w:ascii="Arial" w:eastAsia="Arial" w:hAnsi="Arial"/>
      <w:sz w:val="21"/>
      <w:szCs w:val="21"/>
    </w:rPr>
  </w:style>
  <w:style w:type="paragraph" w:styleId="Prrafodelista">
    <w:name w:val="List Paragraph"/>
    <w:basedOn w:val="Normal"/>
    <w:uiPriority w:val="1"/>
    <w:qFormat w:val="1"/>
  </w:style>
  <w:style w:type="paragraph" w:styleId="TableParagraph" w:customStyle="1">
    <w:name w:val="Table Paragraph"/>
    <w:basedOn w:val="Normal"/>
    <w:uiPriority w:val="1"/>
    <w:qFormat w:val="1"/>
  </w:style>
  <w:style w:type="paragraph" w:styleId="Encabezado">
    <w:name w:val="header"/>
    <w:basedOn w:val="Normal"/>
    <w:link w:val="EncabezadoCar"/>
    <w:uiPriority w:val="99"/>
    <w:unhideWhenUsed w:val="1"/>
    <w:rsid w:val="00731869"/>
    <w:pPr>
      <w:tabs>
        <w:tab w:val="center" w:pos="4252"/>
        <w:tab w:val="right" w:pos="8504"/>
      </w:tabs>
    </w:pPr>
  </w:style>
  <w:style w:type="character" w:styleId="EncabezadoCar" w:customStyle="1">
    <w:name w:val="Encabezado Car"/>
    <w:basedOn w:val="Fuentedeprrafopredeter"/>
    <w:link w:val="Encabezado"/>
    <w:uiPriority w:val="99"/>
    <w:rsid w:val="00731869"/>
  </w:style>
  <w:style w:type="paragraph" w:styleId="Piedepgina">
    <w:name w:val="footer"/>
    <w:basedOn w:val="Normal"/>
    <w:link w:val="PiedepginaCar"/>
    <w:uiPriority w:val="99"/>
    <w:unhideWhenUsed w:val="1"/>
    <w:rsid w:val="00731869"/>
    <w:pPr>
      <w:tabs>
        <w:tab w:val="center" w:pos="4252"/>
        <w:tab w:val="right" w:pos="8504"/>
      </w:tabs>
    </w:pPr>
  </w:style>
  <w:style w:type="character" w:styleId="PiedepginaCar" w:customStyle="1">
    <w:name w:val="Pie de página Car"/>
    <w:basedOn w:val="Fuentedeprrafopredeter"/>
    <w:link w:val="Piedepgina"/>
    <w:uiPriority w:val="99"/>
    <w:rsid w:val="00731869"/>
  </w:style>
  <w:style w:type="paragraph" w:styleId="Textodeglobo">
    <w:name w:val="Balloon Text"/>
    <w:basedOn w:val="Normal"/>
    <w:link w:val="TextodegloboCar"/>
    <w:uiPriority w:val="99"/>
    <w:semiHidden w:val="1"/>
    <w:unhideWhenUsed w:val="1"/>
    <w:rsid w:val="001754B4"/>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1754B4"/>
    <w:rPr>
      <w:rFonts w:ascii="Segoe UI" w:cs="Segoe UI" w:hAnsi="Segoe UI"/>
      <w:sz w:val="18"/>
      <w:szCs w:val="18"/>
    </w:rPr>
  </w:style>
  <w:style w:type="paragraph" w:styleId="NormalWeb">
    <w:name w:val="Normal (Web)"/>
    <w:basedOn w:val="Normal"/>
    <w:unhideWhenUsed w:val="1"/>
    <w:rsid w:val="00903F29"/>
    <w:pPr>
      <w:widowControl w:val="1"/>
      <w:spacing w:after="100" w:afterAutospacing="1" w:before="100" w:beforeAutospacing="1"/>
    </w:pPr>
    <w:rPr>
      <w:rFonts w:ascii="Arial Unicode MS" w:cs="Arial Unicode MS" w:eastAsia="Arial Unicode MS" w:hAnsi="Arial Unicode MS"/>
      <w:sz w:val="24"/>
      <w:szCs w:val="24"/>
      <w:lang w:eastAsia="es-ES" w:val="es-ES"/>
    </w:rPr>
  </w:style>
  <w:style w:type="character" w:styleId="Hipervnculo">
    <w:name w:val="Hyperlink"/>
    <w:basedOn w:val="Fuentedeprrafopredeter"/>
    <w:uiPriority w:val="99"/>
    <w:semiHidden w:val="1"/>
    <w:unhideWhenUsed w:val="1"/>
    <w:rsid w:val="007B19C0"/>
    <w:rPr>
      <w:color w:val="0000ff"/>
      <w:u w:val="single"/>
    </w:rPr>
  </w:style>
  <w:style w:type="character" w:styleId="Textodelmarcadordeposicin">
    <w:name w:val="Placeholder Text"/>
    <w:basedOn w:val="Fuentedeprrafopredeter"/>
    <w:uiPriority w:val="99"/>
    <w:semiHidden w:val="1"/>
    <w:rsid w:val="00AF309E"/>
    <w:rPr>
      <w:color w:val="808080"/>
    </w:rPr>
  </w:style>
  <w:style w:type="character" w:styleId="Refdecomentario">
    <w:name w:val="annotation reference"/>
    <w:basedOn w:val="Fuentedeprrafopredeter"/>
    <w:uiPriority w:val="99"/>
    <w:semiHidden w:val="1"/>
    <w:unhideWhenUsed w:val="1"/>
    <w:rsid w:val="004D676F"/>
    <w:rPr>
      <w:sz w:val="16"/>
      <w:szCs w:val="16"/>
    </w:rPr>
  </w:style>
  <w:style w:type="paragraph" w:styleId="Textocomentario">
    <w:name w:val="annotation text"/>
    <w:basedOn w:val="Normal"/>
    <w:link w:val="TextocomentarioCar"/>
    <w:uiPriority w:val="99"/>
    <w:semiHidden w:val="1"/>
    <w:unhideWhenUsed w:val="1"/>
    <w:rsid w:val="004D676F"/>
    <w:rPr>
      <w:sz w:val="20"/>
      <w:szCs w:val="20"/>
    </w:rPr>
  </w:style>
  <w:style w:type="character" w:styleId="TextocomentarioCar" w:customStyle="1">
    <w:name w:val="Texto comentario Car"/>
    <w:basedOn w:val="Fuentedeprrafopredeter"/>
    <w:link w:val="Textocomentario"/>
    <w:uiPriority w:val="99"/>
    <w:semiHidden w:val="1"/>
    <w:rsid w:val="004D676F"/>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4D676F"/>
    <w:rPr>
      <w:b w:val="1"/>
      <w:bCs w:val="1"/>
    </w:rPr>
  </w:style>
  <w:style w:type="character" w:styleId="AsuntodelcomentarioCar" w:customStyle="1">
    <w:name w:val="Asunto del comentario Car"/>
    <w:basedOn w:val="TextocomentarioCar"/>
    <w:link w:val="Asuntodelcomentario"/>
    <w:uiPriority w:val="99"/>
    <w:semiHidden w:val="1"/>
    <w:rsid w:val="004D676F"/>
    <w:rPr>
      <w:b w:val="1"/>
      <w:bCs w:val="1"/>
      <w:sz w:val="20"/>
      <w:szCs w:val="20"/>
    </w:rPr>
  </w:style>
  <w:style w:type="paragraph" w:styleId="Revisin">
    <w:name w:val="Revision"/>
    <w:hidden w:val="1"/>
    <w:uiPriority w:val="99"/>
    <w:semiHidden w:val="1"/>
    <w:rsid w:val="00B500AC"/>
    <w:pPr>
      <w:widowControl w:val="1"/>
    </w:pPr>
  </w:style>
  <w:style w:type="character" w:styleId="TextoindependienteCar" w:customStyle="1">
    <w:name w:val="Texto independiente Car"/>
    <w:basedOn w:val="Fuentedeprrafopredeter"/>
    <w:link w:val="Textoindependiente"/>
    <w:uiPriority w:val="1"/>
    <w:rsid w:val="00F42AFC"/>
    <w:rPr>
      <w:rFonts w:ascii="Arial" w:eastAsia="Arial" w:hAnsi="Arial"/>
      <w:sz w:val="21"/>
      <w:szCs w:val="21"/>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1"/>
    <w:tblPr>
      <w:tblStyleRowBandSize w:val="1"/>
      <w:tblStyleColBandSize w:val="1"/>
    </w:tblPr>
  </w:style>
  <w:style w:type="table" w:styleId="a0" w:customStyle="1">
    <w:basedOn w:val="TableNormal1"/>
    <w:tblPr>
      <w:tblStyleRowBandSize w:val="1"/>
      <w:tblStyleColBandSize w:val="1"/>
      <w:tblCellMar>
        <w:left w:w="70.0" w:type="dxa"/>
        <w:right w:w="70.0" w:type="dxa"/>
      </w:tblCellMar>
    </w:tblPr>
  </w:style>
  <w:style w:type="table" w:styleId="a1" w:customStyle="1">
    <w:basedOn w:val="TableNormal1"/>
    <w:tblPr>
      <w:tblStyleRowBandSize w:val="1"/>
      <w:tblStyleColBandSize w:val="1"/>
      <w:tblCellMar>
        <w:left w:w="70.0" w:type="dxa"/>
        <w:right w:w="70.0" w:type="dxa"/>
      </w:tblCellMar>
    </w:tblPr>
  </w:style>
  <w:style w:type="table" w:styleId="a2" w:customStyle="1">
    <w:basedOn w:val="TableNormal1"/>
    <w:tblPr>
      <w:tblStyleRowBandSize w:val="1"/>
      <w:tblStyleColBandSize w:val="1"/>
      <w:tblCellMar>
        <w:left w:w="70.0" w:type="dxa"/>
        <w:right w:w="70.0" w:type="dxa"/>
      </w:tblCellMar>
    </w:tblPr>
  </w:style>
  <w:style w:type="table" w:styleId="a3" w:customStyle="1">
    <w:basedOn w:val="TableNormal0"/>
    <w:tblPr>
      <w:tblStyleRowBandSize w:val="1"/>
      <w:tblStyleColBandSize w:val="1"/>
      <w:tblCellMar>
        <w:left w:w="70.0" w:type="dxa"/>
        <w:right w:w="70.0" w:type="dxa"/>
      </w:tblCellMar>
    </w:tblPr>
  </w:style>
  <w:style w:type="table" w:styleId="a4" w:customStyle="1">
    <w:basedOn w:val="TableNormal0"/>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mM9yT5uwd8GtA5ztB/vnbobzOg==">CgMxLjAyCWguMWZvYjl0ZTIOaC4ydHljaTNyc3JnZjYyDmguNHhvMGNna3UwcnFiMg5oLnd2aTF0OW1ocHhzbDIIaC5namRneHMyCWguMzBqMHpsbDgAciExSU9NNmdUMlNqeXE3cjBweWNla1Vrd1diakl2Y1ZnWmk=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2019-12-19T14:58:00Z</dcterms:created>
  <dc:creator>P008000</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2019-04-24T00:00:00Z</vt:filetime>
  </property>
  <property fmtid="{D5CDD505-2E9C-101B-9397-08002B2CF9AE}" pid="3" name="LastSaved">
    <vt:filetime>2019-08-26T00:00:00Z</vt:filetime>
  </property>
  <property fmtid="{D5CDD505-2E9C-101B-9397-08002B2CF9AE}" pid="4" name="LastSaved">
    <vt:lpwstr>2019-08-26T00:00:00Z</vt:lpwstr>
  </property>
  <property fmtid="{D5CDD505-2E9C-101B-9397-08002B2CF9AE}" pid="5" name="Created">
    <vt:lpwstr>2019-04-24T00:00:00Z</vt:lpwstr>
  </property>
  <property fmtid="{D5CDD505-2E9C-101B-9397-08002B2CF9AE}" pid="6" name="LastSaved">
    <vt:lpwstr>2019-08-26T00:00:00Z</vt:lpwstr>
  </property>
  <property fmtid="{D5CDD505-2E9C-101B-9397-08002B2CF9AE}" pid="7" name="Created">
    <vt:lpwstr>2019-04-24T00:00:00Z</vt:lpwstr>
  </property>
</Properties>
</file>